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gridCol w:w="1"/>
        <w:gridCol w:w="1"/>
        <w:gridCol w:w="1"/>
        <w:gridCol w:w="1"/>
        <w:gridCol w:w="1"/>
        <w:gridCol w:w="1"/>
        <w:gridCol w:w="1"/>
        <w:gridCol w:w="1"/>
        <w:gridCol w:w="1"/>
        <w:gridCol w:w="1"/>
        <w:gridCol w:w="1"/>
        <w:gridCol w:w="1"/>
        <w:tblGridChange w:id="0">
          <w:tblGrid>
            <w:gridCol w:w="9360"/>
            <w:gridCol w:w="1"/>
            <w:gridCol w:w="1"/>
            <w:gridCol w:w="1"/>
            <w:gridCol w:w="1"/>
            <w:gridCol w:w="1"/>
            <w:gridCol w:w="1"/>
            <w:gridCol w:w="1"/>
            <w:gridCol w:w="1"/>
            <w:gridCol w:w="1"/>
            <w:gridCol w:w="1"/>
            <w:gridCol w:w="1"/>
            <w:gridCol w:w="1"/>
            <w:gridCol w:w="1"/>
          </w:tblGrid>
        </w:tblGridChange>
      </w:tblGrid>
      <w:tr>
        <w:trPr>
          <w:cantSplit w:val="0"/>
          <w:trHeight w:val="360" w:hRule="atLeast"/>
          <w:tblHeader w:val="0"/>
        </w:trPr>
        <w:tc>
          <w:tcPr>
            <w:gridSpan w:val="14"/>
            <w:tcBorders>
              <w:top w:color="000000" w:space="0" w:sz="9" w:val="single"/>
              <w:left w:color="000000" w:space="0" w:sz="9" w:val="single"/>
              <w:bottom w:color="000000" w:space="0" w:sz="9" w:val="single"/>
              <w:right w:color="000000" w:space="0" w:sz="9" w:val="single"/>
            </w:tcBorders>
            <w:shd w:fill="d8d8d8" w:val="clear"/>
            <w:tcMar>
              <w:top w:w="0.0" w:type="dxa"/>
              <w:left w:w="40.0" w:type="dxa"/>
              <w:bottom w:w="0.0" w:type="dxa"/>
              <w:right w:w="40.0" w:type="dxa"/>
            </w:tcMar>
            <w:vAlign w:val="center"/>
          </w:tcPr>
          <w:p w:rsidR="00000000" w:rsidDel="00000000" w:rsidP="00000000" w:rsidRDefault="00000000" w:rsidRPr="00000000" w14:paraId="00000002">
            <w:pPr>
              <w:widowControl w:val="0"/>
              <w:rPr/>
            </w:pPr>
            <w:r w:rsidDel="00000000" w:rsidR="00000000" w:rsidRPr="00000000">
              <w:rPr>
                <w:b w:val="1"/>
                <w:bCs w:val="1"/>
                <w:sz w:val="20"/>
                <w:szCs w:val="20"/>
                <w:rtl w:val="0"/>
              </w:rPr>
              <w:t xml:space="preserve">Project Summary (max 100 words)</w:t>
            </w:r>
            <w:r w:rsidDel="00000000" w:rsidR="00000000" w:rsidRPr="00000000">
              <w:rPr>
                <w:rtl w:val="0"/>
              </w:rPr>
            </w:r>
          </w:p>
        </w:tc>
      </w:tr>
      <w:tr>
        <w:trPr>
          <w:cantSplit w:val="0"/>
          <w:trHeight w:val="1170"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010">
            <w:pPr>
              <w:widowControl w:val="0"/>
              <w:rPr>
                <w:sz w:val="20"/>
                <w:szCs w:val="20"/>
              </w:rPr>
            </w:pPr>
            <w:r w:rsidDel="00000000" w:rsidR="00000000" w:rsidRPr="00000000">
              <w:rPr>
                <w:sz w:val="20"/>
                <w:szCs w:val="20"/>
                <w:rtl w:val="0"/>
              </w:rPr>
              <w:t xml:space="preserve">Provide a summary of the project that must describe:</w:t>
            </w:r>
          </w:p>
          <w:p w:rsidR="00000000" w:rsidDel="00000000" w:rsidP="00000000" w:rsidRDefault="00000000" w:rsidRPr="00000000" w14:paraId="00000011">
            <w:pPr>
              <w:widowControl w:val="0"/>
              <w:rPr>
                <w:sz w:val="20"/>
                <w:szCs w:val="20"/>
              </w:rPr>
            </w:pPr>
            <w:r w:rsidDel="00000000" w:rsidR="00000000" w:rsidRPr="00000000">
              <w:rPr>
                <w:sz w:val="20"/>
                <w:szCs w:val="20"/>
                <w:rtl w:val="0"/>
              </w:rPr>
              <w:t xml:space="preserve">• The objective(s) and outcome of the project</w:t>
            </w:r>
          </w:p>
          <w:p w:rsidR="00000000" w:rsidDel="00000000" w:rsidP="00000000" w:rsidRDefault="00000000" w:rsidRPr="00000000" w14:paraId="00000012">
            <w:pPr>
              <w:widowControl w:val="0"/>
              <w:rPr>
                <w:sz w:val="20"/>
                <w:szCs w:val="20"/>
              </w:rPr>
            </w:pPr>
            <w:r w:rsidDel="00000000" w:rsidR="00000000" w:rsidRPr="00000000">
              <w:rPr>
                <w:sz w:val="20"/>
                <w:szCs w:val="20"/>
                <w:rtl w:val="0"/>
              </w:rPr>
              <w:t xml:space="preserve">• Innovation(s) introduced</w:t>
            </w:r>
          </w:p>
          <w:p w:rsidR="00000000" w:rsidDel="00000000" w:rsidP="00000000" w:rsidRDefault="00000000" w:rsidRPr="00000000" w14:paraId="00000013">
            <w:pPr>
              <w:widowControl w:val="0"/>
              <w:rPr/>
            </w:pPr>
            <w:r w:rsidDel="00000000" w:rsidR="00000000" w:rsidRPr="00000000">
              <w:rPr>
                <w:sz w:val="20"/>
                <w:szCs w:val="20"/>
                <w:rtl w:val="0"/>
              </w:rPr>
              <w:t xml:space="preserve">• The value proposition (how this benefits users/stakeholders)</w:t>
            </w:r>
            <w:r w:rsidDel="00000000" w:rsidR="00000000" w:rsidRPr="00000000">
              <w:rPr>
                <w:rtl w:val="0"/>
              </w:rPr>
            </w:r>
          </w:p>
        </w:tc>
      </w:tr>
      <w:tr>
        <w:trPr>
          <w:cantSplit w:val="0"/>
          <w:trHeight w:val="1650" w:hRule="atLeast"/>
          <w:tblHeader w:val="0"/>
        </w:trPr>
        <w:tc>
          <w:tcPr>
            <w:gridSpan w:val="14"/>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021">
            <w:pPr>
              <w:widowControl w:val="0"/>
              <w:rPr>
                <w:color w:val="78206e"/>
              </w:rPr>
            </w:pPr>
            <w:r w:rsidDel="00000000" w:rsidR="00000000" w:rsidRPr="00000000">
              <w:rPr>
                <w:color w:val="78206e"/>
                <w:rtl w:val="0"/>
              </w:rPr>
              <w:t xml:space="preserve">This project develops open-source Primary Mathematics interactives (Annex 1) aligned to the 2021 textbook “Thinking Aloud” tasks to cultivate students’ strategic and metacognitive thinking. The objective is to move beyond answer-getting towards helping students plan, monitor and refine their problem-solving approaches through iterative exploration in a safe SLS environment. A key innovation is the integration of "learning recorder" </w:t>
            </w:r>
            <w:hyperlink r:id="rId6">
              <w:r w:rsidDel="00000000" w:rsidR="00000000" w:rsidRPr="00000000">
                <w:rPr>
                  <w:color w:val="1155cc"/>
                  <w:u w:val="single"/>
                  <w:rtl w:val="0"/>
                </w:rPr>
                <w:t xml:space="preserve">https://xapi.com</w:t>
              </w:r>
            </w:hyperlink>
            <w:r w:rsidDel="00000000" w:rsidR="00000000" w:rsidRPr="00000000">
              <w:rPr>
                <w:color w:val="78206e"/>
                <w:rtl w:val="0"/>
              </w:rPr>
              <w:t xml:space="preserve">  interactives that make students’ thinking processes visible, transforming interactions into evidence that supports deeper, strategy-focused classroom dialogue. Scalable and curriculum-aligned, the solution shifts interactives from engagement tools to metacognitive growth platforms, strengthening reasoning, adaptability and instructional precision across classrooms and schools.</w:t>
            </w:r>
          </w:p>
          <w:p w:rsidR="00000000" w:rsidDel="00000000" w:rsidP="00000000" w:rsidRDefault="00000000" w:rsidRPr="00000000" w14:paraId="00000022">
            <w:pPr>
              <w:widowControl w:val="0"/>
              <w:rPr>
                <w:color w:val="78206e"/>
              </w:rPr>
            </w:pPr>
            <w:r w:rsidDel="00000000" w:rsidR="00000000" w:rsidRPr="00000000">
              <w:rPr>
                <w:color w:val="78206e"/>
                <w:rtl w:val="0"/>
              </w:rPr>
              <w:t xml:space="preserve">100 words</w:t>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tbl>
      <w:tblPr>
        <w:tblStyle w:val="Table2"/>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70"/>
        <w:gridCol w:w="105"/>
        <w:gridCol w:w="105"/>
        <w:gridCol w:w="105"/>
        <w:gridCol w:w="105"/>
        <w:gridCol w:w="105"/>
        <w:gridCol w:w="105"/>
        <w:gridCol w:w="105"/>
        <w:gridCol w:w="105"/>
        <w:gridCol w:w="105"/>
        <w:gridCol w:w="105"/>
        <w:gridCol w:w="105"/>
        <w:gridCol w:w="240"/>
        <w:gridCol w:w="3840"/>
        <w:tblGridChange w:id="0">
          <w:tblGrid>
            <w:gridCol w:w="4470"/>
            <w:gridCol w:w="105"/>
            <w:gridCol w:w="105"/>
            <w:gridCol w:w="105"/>
            <w:gridCol w:w="105"/>
            <w:gridCol w:w="105"/>
            <w:gridCol w:w="105"/>
            <w:gridCol w:w="105"/>
            <w:gridCol w:w="105"/>
            <w:gridCol w:w="105"/>
            <w:gridCol w:w="105"/>
            <w:gridCol w:w="105"/>
            <w:gridCol w:w="240"/>
            <w:gridCol w:w="3840"/>
          </w:tblGrid>
        </w:tblGridChange>
      </w:tblGrid>
      <w:tr>
        <w:trPr>
          <w:cantSplit w:val="0"/>
          <w:trHeight w:val="420" w:hRule="atLeast"/>
          <w:tblHeader w:val="0"/>
        </w:trPr>
        <w:tc>
          <w:tcPr>
            <w:gridSpan w:val="12"/>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032">
            <w:pPr>
              <w:widowControl w:val="0"/>
              <w:rPr/>
            </w:pPr>
            <w:r w:rsidDel="00000000" w:rsidR="00000000" w:rsidRPr="00000000">
              <w:rPr>
                <w:b w:val="1"/>
                <w:bCs w:val="1"/>
                <w:sz w:val="20"/>
                <w:szCs w:val="20"/>
                <w:u w:val="single"/>
                <w:rtl w:val="0"/>
              </w:rPr>
              <w:t xml:space="preserve">Project Details</w:t>
            </w: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3E">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shd w:fill="auto" w:val="clear"/>
            <w:tcMar>
              <w:top w:w="0.0" w:type="dxa"/>
              <w:left w:w="40.0" w:type="dxa"/>
              <w:bottom w:w="0.0" w:type="dxa"/>
              <w:right w:w="40.0" w:type="dxa"/>
            </w:tcMar>
            <w:vAlign w:val="top"/>
          </w:tcPr>
          <w:p w:rsidR="00000000" w:rsidDel="00000000" w:rsidP="00000000" w:rsidRDefault="00000000" w:rsidRPr="00000000" w14:paraId="0000003F">
            <w:pPr>
              <w:widowControl w:val="0"/>
              <w:rPr/>
            </w:pPr>
            <w:r w:rsidDel="00000000" w:rsidR="00000000" w:rsidRPr="00000000">
              <w:rPr>
                <w:rtl w:val="0"/>
              </w:rPr>
            </w:r>
          </w:p>
        </w:tc>
      </w:tr>
      <w:tr>
        <w:trPr>
          <w:cantSplit w:val="0"/>
          <w:trHeight w:val="360" w:hRule="atLeast"/>
          <w:tblHeader w:val="0"/>
        </w:trPr>
        <w:tc>
          <w:tcPr>
            <w:gridSpan w:val="14"/>
            <w:tcBorders>
              <w:top w:color="000000" w:space="0" w:sz="0" w:val="nil"/>
              <w:left w:color="000000" w:space="0" w:sz="9" w:val="single"/>
              <w:bottom w:color="000000" w:space="0" w:sz="9" w:val="single"/>
              <w:right w:color="000000" w:space="0" w:sz="9" w:val="single"/>
            </w:tcBorders>
            <w:shd w:fill="d8d8d8" w:val="clear"/>
            <w:tcMar>
              <w:top w:w="0.0" w:type="dxa"/>
              <w:left w:w="40.0" w:type="dxa"/>
              <w:bottom w:w="0.0" w:type="dxa"/>
              <w:right w:w="40.0" w:type="dxa"/>
            </w:tcMar>
            <w:vAlign w:val="center"/>
          </w:tcPr>
          <w:p w:rsidR="00000000" w:rsidDel="00000000" w:rsidP="00000000" w:rsidRDefault="00000000" w:rsidRPr="00000000" w14:paraId="00000040">
            <w:pPr>
              <w:widowControl w:val="0"/>
              <w:rPr/>
            </w:pPr>
            <w:r w:rsidDel="00000000" w:rsidR="00000000" w:rsidRPr="00000000">
              <w:rPr>
                <w:b w:val="1"/>
                <w:bCs w:val="1"/>
                <w:sz w:val="20"/>
                <w:szCs w:val="20"/>
                <w:rtl w:val="0"/>
              </w:rPr>
              <w:t xml:space="preserve">Criterion 1: Problem Identification and Idea Development [25%] (max 300 words)</w:t>
            </w:r>
            <w:r w:rsidDel="00000000" w:rsidR="00000000" w:rsidRPr="00000000">
              <w:rPr>
                <w:rtl w:val="0"/>
              </w:rPr>
            </w:r>
          </w:p>
        </w:tc>
      </w:tr>
      <w:tr>
        <w:trPr>
          <w:cantSplit w:val="0"/>
          <w:trHeight w:val="1110"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04E">
            <w:pPr>
              <w:widowControl w:val="0"/>
              <w:rPr>
                <w:sz w:val="20"/>
                <w:szCs w:val="20"/>
              </w:rPr>
            </w:pPr>
            <w:r w:rsidDel="00000000" w:rsidR="00000000" w:rsidRPr="00000000">
              <w:rPr>
                <w:sz w:val="20"/>
                <w:szCs w:val="20"/>
                <w:rtl w:val="0"/>
              </w:rPr>
              <w:t xml:space="preserve">a) Problem Identification:</w:t>
            </w:r>
          </w:p>
          <w:p w:rsidR="00000000" w:rsidDel="00000000" w:rsidP="00000000" w:rsidRDefault="00000000" w:rsidRPr="00000000" w14:paraId="0000004F">
            <w:pPr>
              <w:widowControl w:val="0"/>
              <w:rPr>
                <w:sz w:val="20"/>
                <w:szCs w:val="20"/>
              </w:rPr>
            </w:pPr>
            <w:r w:rsidDel="00000000" w:rsidR="00000000" w:rsidRPr="00000000">
              <w:rPr>
                <w:sz w:val="20"/>
                <w:szCs w:val="20"/>
                <w:rtl w:val="0"/>
              </w:rPr>
              <w:t xml:space="preserve">(i) Define the problem/challenge the team is trying to address and provide the context of the problem/challenge; and</w:t>
            </w:r>
          </w:p>
          <w:p w:rsidR="00000000" w:rsidDel="00000000" w:rsidP="00000000" w:rsidRDefault="00000000" w:rsidRPr="00000000" w14:paraId="00000050">
            <w:pPr>
              <w:widowControl w:val="0"/>
              <w:rPr>
                <w:sz w:val="20"/>
                <w:szCs w:val="20"/>
              </w:rPr>
            </w:pPr>
            <w:r w:rsidDel="00000000" w:rsidR="00000000" w:rsidRPr="00000000">
              <w:rPr>
                <w:sz w:val="20"/>
                <w:szCs w:val="20"/>
                <w:rtl w:val="0"/>
              </w:rPr>
              <w:t xml:space="preserve">(ii) Describe how the team identified the problem/challenge (e.g., adopted root cause analysis, surveys, FGDs, etc.).</w:t>
            </w:r>
          </w:p>
          <w:p w:rsidR="00000000" w:rsidDel="00000000" w:rsidP="00000000" w:rsidRDefault="00000000" w:rsidRPr="00000000" w14:paraId="00000051">
            <w:pPr>
              <w:widowControl w:val="0"/>
              <w:rPr/>
            </w:pPr>
            <w:r w:rsidDel="00000000" w:rsidR="00000000" w:rsidRPr="00000000">
              <w:rPr>
                <w:sz w:val="20"/>
                <w:szCs w:val="20"/>
                <w:rtl w:val="0"/>
              </w:rPr>
              <w:t xml:space="preserve">b) Idea Development - Outline how the team conceived and developed the solution with clear consideration of users’ needs.</w:t>
            </w:r>
            <w:r w:rsidDel="00000000" w:rsidR="00000000" w:rsidRPr="00000000">
              <w:rPr>
                <w:rtl w:val="0"/>
              </w:rPr>
            </w:r>
          </w:p>
        </w:tc>
      </w:tr>
      <w:tr>
        <w:trPr>
          <w:cantSplit w:val="0"/>
          <w:trHeight w:val="7650" w:hRule="atLeast"/>
          <w:tblHeader w:val="0"/>
        </w:trPr>
        <w:tc>
          <w:tcPr>
            <w:gridSpan w:val="14"/>
            <w:vMerge w:val="restart"/>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05F">
            <w:pPr>
              <w:widowControl w:val="0"/>
              <w:rPr>
                <w:color w:val="78206e"/>
              </w:rPr>
            </w:pPr>
            <w:r w:rsidDel="00000000" w:rsidR="00000000" w:rsidRPr="00000000">
              <w:rPr>
                <w:color w:val="78206e"/>
                <w:rtl w:val="0"/>
              </w:rPr>
              <w:t xml:space="preserve">ai)</w:t>
            </w:r>
          </w:p>
          <w:p w:rsidR="00000000" w:rsidDel="00000000" w:rsidP="00000000" w:rsidRDefault="00000000" w:rsidRPr="00000000" w14:paraId="00000060">
            <w:pPr>
              <w:widowControl w:val="0"/>
              <w:spacing w:after="240" w:before="240" w:lineRule="auto"/>
              <w:rPr>
                <w:color w:val="78206e"/>
              </w:rPr>
            </w:pPr>
            <w:r w:rsidDel="00000000" w:rsidR="00000000" w:rsidRPr="00000000">
              <w:rPr>
                <w:color w:val="78206e"/>
                <w:rtl w:val="0"/>
              </w:rPr>
              <w:t xml:space="preserve">Traditional textbook tasks (Annex 2) are static and linear. While “Thinking Aloud” tasks aim to surface reasoning, students typically submit only final answers on the textbook activity. During class discussions, only a small proportion of students articulate their strategies, leaving most thinking invisible and not easy to support student’s journey to be aware of thinking metacognitive strategies in solving semi open-ended mathematics problems.</w:t>
            </w:r>
          </w:p>
          <w:p w:rsidR="00000000" w:rsidDel="00000000" w:rsidP="00000000" w:rsidRDefault="00000000" w:rsidRPr="00000000" w14:paraId="00000061">
            <w:pPr>
              <w:widowControl w:val="0"/>
              <w:spacing w:after="240" w:before="240" w:lineRule="auto"/>
              <w:rPr>
                <w:color w:val="78206e"/>
              </w:rPr>
            </w:pPr>
            <w:r w:rsidDel="00000000" w:rsidR="00000000" w:rsidRPr="00000000">
              <w:rPr>
                <w:color w:val="78206e"/>
                <w:rtl w:val="0"/>
              </w:rPr>
              <w:t xml:space="preserve">The core challenge was not correctness, but the lack of visibility into students’ metacognitive processes — how they plan, monitor and regulate their problem-solving. Without this visibility, students struggle to develop awareness of their own strategies, and teachers lack evidence to diagnose gaps in critical and adaptive thinking.</w:t>
            </w:r>
          </w:p>
          <w:p w:rsidR="00000000" w:rsidDel="00000000" w:rsidP="00000000" w:rsidRDefault="00000000" w:rsidRPr="00000000" w14:paraId="00000062">
            <w:pPr>
              <w:widowControl w:val="0"/>
              <w:rPr>
                <w:color w:val="78206e"/>
              </w:rPr>
            </w:pPr>
            <w:r w:rsidDel="00000000" w:rsidR="00000000" w:rsidRPr="00000000">
              <w:rPr>
                <w:rtl w:val="0"/>
              </w:rPr>
            </w:r>
          </w:p>
          <w:p w:rsidR="00000000" w:rsidDel="00000000" w:rsidP="00000000" w:rsidRDefault="00000000" w:rsidRPr="00000000" w14:paraId="00000063">
            <w:pPr>
              <w:widowControl w:val="0"/>
              <w:rPr>
                <w:color w:val="78206e"/>
              </w:rPr>
            </w:pPr>
            <w:r w:rsidDel="00000000" w:rsidR="00000000" w:rsidRPr="00000000">
              <w:rPr>
                <w:color w:val="78206e"/>
                <w:rtl w:val="0"/>
              </w:rPr>
              <w:t xml:space="preserve">aii)</w:t>
            </w:r>
          </w:p>
          <w:p w:rsidR="00000000" w:rsidDel="00000000" w:rsidP="00000000" w:rsidRDefault="00000000" w:rsidRPr="00000000" w14:paraId="00000064">
            <w:pPr>
              <w:widowControl w:val="0"/>
              <w:rPr>
                <w:color w:val="78206e"/>
              </w:rPr>
            </w:pPr>
            <w:r w:rsidDel="00000000" w:rsidR="00000000" w:rsidRPr="00000000">
              <w:rPr>
                <w:color w:val="78206e"/>
                <w:rtl w:val="0"/>
              </w:rPr>
              <w:t xml:space="preserve">This challenge was identified through extensive classroom observations, teacher feedback, and iterative lesson trials. Teachers consistently expressed difficulty in capturing and understanding students' thought processes, particularly in relation to metacognition and self-regulation. The gap in supporting students’ awareness of their learning strategies became a recurring pain point, revealing the need for a solution that would make students' thinking visible and actionable.</w:t>
            </w:r>
          </w:p>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widowControl w:val="0"/>
              <w:rPr/>
            </w:pPr>
            <w:r w:rsidDel="00000000" w:rsidR="00000000" w:rsidRPr="00000000">
              <w:rPr>
                <w:rtl w:val="0"/>
              </w:rPr>
              <w:t xml:space="preserve">b)</w:t>
            </w:r>
          </w:p>
          <w:p w:rsidR="00000000" w:rsidDel="00000000" w:rsidP="00000000" w:rsidRDefault="00000000" w:rsidRPr="00000000" w14:paraId="00000067">
            <w:pPr>
              <w:widowControl w:val="0"/>
              <w:spacing w:after="240" w:before="240" w:lineRule="auto"/>
              <w:rPr/>
            </w:pPr>
            <w:r w:rsidDel="00000000" w:rsidR="00000000" w:rsidRPr="00000000">
              <w:rPr>
                <w:rtl w:val="0"/>
              </w:rPr>
              <w:t xml:space="preserve">The team designed open-source, curriculum-aligned mathematics interactives embedded within SLS, anchored to textbook “Thinking Aloud” tasks for relevance and ease of adoption. Prototyping with teachers (Annex 3) informed features such as adjustable difficulty, visual manipulatives and embedded metacognitive activity records for student’s own reflection.</w:t>
            </w:r>
          </w:p>
          <w:p w:rsidR="00000000" w:rsidDel="00000000" w:rsidP="00000000" w:rsidRDefault="00000000" w:rsidRPr="00000000" w14:paraId="00000068">
            <w:pPr>
              <w:widowControl w:val="0"/>
              <w:spacing w:after="240" w:before="240" w:lineRule="auto"/>
              <w:rPr/>
            </w:pPr>
            <w:r w:rsidDel="00000000" w:rsidR="00000000" w:rsidRPr="00000000">
              <w:rPr>
                <w:rtl w:val="0"/>
              </w:rPr>
              <w:t xml:space="preserve">A key innovation was integrating xAPI tracking to capture students’ learning actions — attempts, revisions and strategy shifts. Students can review their own action logs to reflect on how they approached problems. Teachers gain structured visibility of 21CC processes through analytics that surface patterns of reasoning and regulation.</w:t>
            </w:r>
          </w:p>
          <w:p w:rsidR="00000000" w:rsidDel="00000000" w:rsidP="00000000" w:rsidRDefault="00000000" w:rsidRPr="00000000" w14:paraId="00000069">
            <w:pPr>
              <w:widowControl w:val="0"/>
              <w:spacing w:after="240" w:before="240" w:lineRule="auto"/>
              <w:rPr/>
            </w:pPr>
            <w:r w:rsidDel="00000000" w:rsidR="00000000" w:rsidRPr="00000000">
              <w:rPr>
                <w:rtl w:val="0"/>
              </w:rPr>
              <w:t xml:space="preserve">This transforms digital simulations into evidence-rich environments that support metacognitive growth, targeted discussion and strategy-focused teaching. The final product (Annex 4) balances pedagogical alignment, scalability and teacher usability, empowering classrooms to move from answer-checking to intentional development of mathematical thinking.</w:t>
            </w:r>
          </w:p>
          <w:p w:rsidR="00000000" w:rsidDel="00000000" w:rsidP="00000000" w:rsidRDefault="00000000" w:rsidRPr="00000000" w14:paraId="0000006A">
            <w:pPr>
              <w:widowControl w:val="0"/>
              <w:spacing w:after="240" w:before="240" w:lineRule="auto"/>
              <w:rPr/>
            </w:pPr>
            <w:r w:rsidDel="00000000" w:rsidR="00000000" w:rsidRPr="00000000">
              <w:rPr>
                <w:rtl w:val="0"/>
              </w:rPr>
              <w:t xml:space="preserve">299 words</w:t>
            </w:r>
          </w:p>
          <w:p w:rsidR="00000000" w:rsidDel="00000000" w:rsidP="00000000" w:rsidRDefault="00000000" w:rsidRPr="00000000" w14:paraId="0000006B">
            <w:pPr>
              <w:widowControl w:val="0"/>
              <w:spacing w:after="240" w:before="240" w:lineRule="auto"/>
              <w:rPr/>
            </w:pPr>
            <w:r w:rsidDel="00000000" w:rsidR="00000000" w:rsidRPr="00000000">
              <w:rPr>
                <w:rtl w:val="0"/>
              </w:rPr>
            </w:r>
          </w:p>
          <w:p w:rsidR="00000000" w:rsidDel="00000000" w:rsidP="00000000" w:rsidRDefault="00000000" w:rsidRPr="00000000" w14:paraId="0000006C">
            <w:pPr>
              <w:widowControl w:val="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rPr/>
            </w:pP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gridCol w:w="1"/>
        <w:gridCol w:w="1"/>
        <w:gridCol w:w="1"/>
        <w:gridCol w:w="1"/>
        <w:gridCol w:w="1"/>
        <w:gridCol w:w="1"/>
        <w:gridCol w:w="1"/>
        <w:gridCol w:w="1"/>
        <w:gridCol w:w="1"/>
        <w:gridCol w:w="1"/>
        <w:gridCol w:w="1"/>
        <w:gridCol w:w="1"/>
        <w:tblGridChange w:id="0">
          <w:tblGrid>
            <w:gridCol w:w="9360"/>
            <w:gridCol w:w="1"/>
            <w:gridCol w:w="1"/>
            <w:gridCol w:w="1"/>
            <w:gridCol w:w="1"/>
            <w:gridCol w:w="1"/>
            <w:gridCol w:w="1"/>
            <w:gridCol w:w="1"/>
            <w:gridCol w:w="1"/>
            <w:gridCol w:w="1"/>
            <w:gridCol w:w="1"/>
            <w:gridCol w:w="1"/>
            <w:gridCol w:w="1"/>
            <w:gridCol w:w="1"/>
          </w:tblGrid>
        </w:tblGridChange>
      </w:tblGrid>
      <w:tr>
        <w:trPr>
          <w:cantSplit w:val="0"/>
          <w:trHeight w:val="360" w:hRule="atLeast"/>
          <w:tblHeader w:val="0"/>
        </w:trPr>
        <w:tc>
          <w:tcPr>
            <w:gridSpan w:val="14"/>
            <w:tcBorders>
              <w:top w:color="000000" w:space="0" w:sz="9" w:val="single"/>
              <w:left w:color="000000" w:space="0" w:sz="9" w:val="single"/>
              <w:bottom w:color="000000" w:space="0" w:sz="9" w:val="single"/>
              <w:right w:color="000000" w:space="0" w:sz="9" w:val="single"/>
            </w:tcBorders>
            <w:shd w:fill="d8d8d8" w:val="clear"/>
            <w:tcMar>
              <w:top w:w="0.0" w:type="dxa"/>
              <w:left w:w="40.0" w:type="dxa"/>
              <w:bottom w:w="0.0" w:type="dxa"/>
              <w:right w:w="40.0" w:type="dxa"/>
            </w:tcMar>
            <w:vAlign w:val="center"/>
          </w:tcPr>
          <w:p w:rsidR="00000000" w:rsidDel="00000000" w:rsidP="00000000" w:rsidRDefault="00000000" w:rsidRPr="00000000" w14:paraId="00000098">
            <w:pPr>
              <w:widowControl w:val="0"/>
              <w:rPr/>
            </w:pPr>
            <w:r w:rsidDel="00000000" w:rsidR="00000000" w:rsidRPr="00000000">
              <w:rPr>
                <w:b w:val="1"/>
                <w:bCs w:val="1"/>
                <w:sz w:val="20"/>
                <w:szCs w:val="20"/>
                <w:rtl w:val="0"/>
              </w:rPr>
              <w:t xml:space="preserve">Criterion 2: Innovativeness of solution [30%] (max 400 words)</w:t>
            </w:r>
            <w:r w:rsidDel="00000000" w:rsidR="00000000" w:rsidRPr="00000000">
              <w:rPr>
                <w:rtl w:val="0"/>
              </w:rPr>
            </w:r>
          </w:p>
        </w:tc>
      </w:tr>
      <w:tr>
        <w:trPr>
          <w:cantSplit w:val="0"/>
          <w:trHeight w:val="990"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bottom"/>
          </w:tcPr>
          <w:p w:rsidR="00000000" w:rsidDel="00000000" w:rsidP="00000000" w:rsidRDefault="00000000" w:rsidRPr="00000000" w14:paraId="000000A6">
            <w:pPr>
              <w:widowControl w:val="0"/>
              <w:rPr/>
            </w:pPr>
            <w:r w:rsidDel="00000000" w:rsidR="00000000" w:rsidRPr="00000000">
              <w:rPr>
                <w:rtl w:val="0"/>
              </w:rPr>
              <w:t xml:space="preserve">a) Explain how the solution implemented was bold and innovative (i.e. fresh/new perspectives, creative ways and/or ingenuity), or fundamentally different from existing approaches.</w:t>
            </w:r>
          </w:p>
          <w:p w:rsidR="00000000" w:rsidDel="00000000" w:rsidP="00000000" w:rsidRDefault="00000000" w:rsidRPr="00000000" w14:paraId="000000A7">
            <w:pPr>
              <w:widowControl w:val="0"/>
              <w:rPr/>
            </w:pPr>
            <w:r w:rsidDel="00000000" w:rsidR="00000000" w:rsidRPr="00000000">
              <w:rPr>
                <w:rtl w:val="0"/>
              </w:rPr>
              <w:t xml:space="preserve">b) Where applicable, describe how the team took calculated risks, demonstrated the spirit of dare to do, and applied insights from prior experiences (failed or successful) into their current solution.</w:t>
            </w:r>
          </w:p>
        </w:tc>
      </w:tr>
      <w:tr>
        <w:trPr>
          <w:cantSplit w:val="0"/>
          <w:trHeight w:val="5805" w:hRule="atLeast"/>
          <w:tblHeader w:val="0"/>
        </w:trPr>
        <w:tc>
          <w:tcPr>
            <w:gridSpan w:val="14"/>
            <w:vMerge w:val="restart"/>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0B5">
            <w:pPr>
              <w:widowControl w:val="0"/>
              <w:rPr/>
            </w:pPr>
            <w:r w:rsidDel="00000000" w:rsidR="00000000" w:rsidRPr="00000000">
              <w:rPr>
                <w:rtl w:val="0"/>
              </w:rPr>
              <w:t xml:space="preserve">a)</w:t>
            </w:r>
          </w:p>
          <w:p w:rsidR="00000000" w:rsidDel="00000000" w:rsidP="00000000" w:rsidRDefault="00000000" w:rsidRPr="00000000" w14:paraId="000000B6">
            <w:pPr>
              <w:widowControl w:val="0"/>
              <w:spacing w:after="240" w:before="240" w:lineRule="auto"/>
              <w:rPr/>
            </w:pPr>
            <w:r w:rsidDel="00000000" w:rsidR="00000000" w:rsidRPr="00000000">
              <w:rPr>
                <w:rtl w:val="0"/>
              </w:rPr>
              <w:t xml:space="preserve">The bold innovation of this project lies in reframing digital simulations from answer-checking tools into platforms that make students’ metacognitive thinking visible.</w:t>
            </w:r>
          </w:p>
          <w:p w:rsidR="00000000" w:rsidDel="00000000" w:rsidP="00000000" w:rsidRDefault="00000000" w:rsidRPr="00000000" w14:paraId="000000B7">
            <w:pPr>
              <w:widowControl w:val="0"/>
              <w:spacing w:after="240" w:before="240" w:lineRule="auto"/>
              <w:rPr/>
            </w:pPr>
            <w:r w:rsidDel="00000000" w:rsidR="00000000" w:rsidRPr="00000000">
              <w:rPr>
                <w:rtl w:val="0"/>
              </w:rPr>
              <w:t xml:space="preserve">In most digital learning tools, success is defined by correctness. Teachers see scores; students see whether they are right or wrong. What remains invisible is how students planned, monitored and adjusted their strategies. This project addresses that blind spot.</w:t>
            </w:r>
          </w:p>
          <w:p w:rsidR="00000000" w:rsidDel="00000000" w:rsidP="00000000" w:rsidRDefault="00000000" w:rsidRPr="00000000" w14:paraId="000000B8">
            <w:pPr>
              <w:widowControl w:val="0"/>
              <w:spacing w:after="240" w:before="240" w:lineRule="auto"/>
              <w:rPr/>
            </w:pPr>
            <w:r w:rsidDel="00000000" w:rsidR="00000000" w:rsidRPr="00000000">
              <w:rPr>
                <w:rtl w:val="0"/>
              </w:rPr>
              <w:t xml:space="preserve">Each interactive is intentionally designed to capture not only outcomes, but learning actions — attempts, revisions, sequencing decisions and strategy shifts. Through xAPI instrumentation, students’ problem-solving journeys are recorded as structured evidence of thinking.</w:t>
            </w:r>
          </w:p>
          <w:p w:rsidR="00000000" w:rsidDel="00000000" w:rsidP="00000000" w:rsidRDefault="00000000" w:rsidRPr="00000000" w14:paraId="000000B9">
            <w:pPr>
              <w:widowControl w:val="0"/>
              <w:spacing w:after="240" w:before="240" w:lineRule="auto"/>
              <w:rPr/>
            </w:pPr>
            <w:r w:rsidDel="00000000" w:rsidR="00000000" w:rsidRPr="00000000">
              <w:rPr>
                <w:rtl w:val="0"/>
              </w:rPr>
              <w:t xml:space="preserve">The innovation operates at two levels:</w:t>
            </w:r>
          </w:p>
          <w:p w:rsidR="00000000" w:rsidDel="00000000" w:rsidP="00000000" w:rsidRDefault="00000000" w:rsidRPr="00000000" w14:paraId="000000BA">
            <w:pPr>
              <w:widowControl w:val="0"/>
              <w:spacing w:after="240" w:before="240" w:lineRule="auto"/>
              <w:rPr/>
            </w:pPr>
            <w:r w:rsidDel="00000000" w:rsidR="00000000" w:rsidRPr="00000000">
              <w:rPr>
                <w:rtl w:val="0"/>
              </w:rPr>
              <w:t xml:space="preserve"> </w:t>
            </w:r>
            <w:r w:rsidDel="00000000" w:rsidR="00000000" w:rsidRPr="00000000">
              <w:rPr>
                <w:b w:val="1"/>
                <w:bCs w:val="1"/>
                <w:rtl w:val="0"/>
              </w:rPr>
              <w:t xml:space="preserve">For students</w:t>
            </w:r>
            <w:r w:rsidDel="00000000" w:rsidR="00000000" w:rsidRPr="00000000">
              <w:rPr>
                <w:rtl w:val="0"/>
              </w:rPr>
              <w:t xml:space="preserve">, the interactives allow them to review their own action history — how many attempts they made, whether they changed strategies, and how their approaches evolved. Reflection is further supported through Integrated Thinking and Reflection (ITT) questions embedded within the tasks, prompting students to consider questions such as whether they planned before acting, when they realised their method was inefficient, and why they changed strategies. By reviewing their attempts and responding to reflection prompts, students engage in metacognitive monitoring and regulation.</w:t>
            </w:r>
          </w:p>
          <w:p w:rsidR="00000000" w:rsidDel="00000000" w:rsidP="00000000" w:rsidRDefault="00000000" w:rsidRPr="00000000" w14:paraId="000000BB">
            <w:pPr>
              <w:widowControl w:val="0"/>
              <w:spacing w:after="240" w:before="240" w:lineRule="auto"/>
              <w:rPr/>
            </w:pPr>
            <w:r w:rsidDel="00000000" w:rsidR="00000000" w:rsidRPr="00000000">
              <w:rPr>
                <w:rtl w:val="0"/>
              </w:rPr>
              <w:t xml:space="preserve">Student surveys (Annex 5) support the impact of this approach. Many students reported enjoying the challenge of solving the mini-games and learning through exploration. In the P3 Area interactive, students highlighted that they enjoyed working with different shapes and figuring out solutions independently.</w:t>
            </w:r>
          </w:p>
          <w:p w:rsidR="00000000" w:rsidDel="00000000" w:rsidP="00000000" w:rsidRDefault="00000000" w:rsidRPr="00000000" w14:paraId="000000BC">
            <w:pPr>
              <w:widowControl w:val="0"/>
              <w:spacing w:after="240" w:before="240" w:lineRule="auto"/>
              <w:rPr/>
            </w:pPr>
            <w:r w:rsidDel="00000000" w:rsidR="00000000" w:rsidRPr="00000000">
              <w:rPr>
                <w:rtl w:val="0"/>
              </w:rPr>
            </w:r>
          </w:p>
          <w:p w:rsidR="00000000" w:rsidDel="00000000" w:rsidP="00000000" w:rsidRDefault="00000000" w:rsidRPr="00000000" w14:paraId="000000BD">
            <w:pPr>
              <w:widowControl w:val="0"/>
              <w:spacing w:after="240" w:before="240" w:lineRule="auto"/>
              <w:rPr/>
            </w:pPr>
            <w:r w:rsidDel="00000000" w:rsidR="00000000" w:rsidRPr="00000000">
              <w:rPr>
                <w:rtl w:val="0"/>
              </w:rPr>
              <w:t xml:space="preserve">Overall, the combination of visible action history, reflective prompts and student feedback demonstrates how the interactives support the development of metacognitive awareness and more deliberate problem-solving strategies.</w:t>
            </w:r>
          </w:p>
          <w:p w:rsidR="00000000" w:rsidDel="00000000" w:rsidP="00000000" w:rsidRDefault="00000000" w:rsidRPr="00000000" w14:paraId="000000BE">
            <w:pPr>
              <w:widowControl w:val="0"/>
              <w:spacing w:after="240" w:before="240" w:lineRule="auto"/>
              <w:rPr/>
            </w:pPr>
            <w:r w:rsidDel="00000000" w:rsidR="00000000" w:rsidRPr="00000000">
              <w:rPr>
                <w:b w:val="1"/>
                <w:bCs w:val="1"/>
                <w:rtl w:val="0"/>
              </w:rPr>
              <w:t xml:space="preserve">For teachers</w:t>
            </w:r>
            <w:r w:rsidDel="00000000" w:rsidR="00000000" w:rsidRPr="00000000">
              <w:rPr>
                <w:rtl w:val="0"/>
              </w:rPr>
              <w:t xml:space="preserve">, the interactives provide structured visibility of 21CC processes such as critical and adaptive thinking. Rather than relying on verbal responses from a few students, teachers can observe patterns of persistence, revision and strategic behaviour across the class. This supports targeted facilitation and deeper strategy-focused discussion.</w:t>
            </w:r>
            <w:r w:rsidDel="00000000" w:rsidR="00000000" w:rsidRPr="00000000">
              <w:rPr>
                <w:rtl w:val="0"/>
              </w:rPr>
            </w:r>
          </w:p>
          <w:p w:rsidR="00000000" w:rsidDel="00000000" w:rsidP="00000000" w:rsidRDefault="00000000" w:rsidRPr="00000000" w14:paraId="000000BF">
            <w:pPr>
              <w:widowControl w:val="0"/>
              <w:spacing w:after="240" w:before="240" w:lineRule="auto"/>
              <w:rPr/>
            </w:pPr>
            <w:r w:rsidDel="00000000" w:rsidR="00000000" w:rsidRPr="00000000">
              <w:rPr>
                <w:rtl w:val="0"/>
              </w:rPr>
              <w:t xml:space="preserve">This represents a fundamental shift. Rather than using technology to automate marking, the project uses technology to surface thinking. Digital simulations become evidence-rich environments that support reflection, dialogue and intentional development of mathematical reasoning.</w:t>
            </w:r>
          </w:p>
          <w:p w:rsidR="00000000" w:rsidDel="00000000" w:rsidP="00000000" w:rsidRDefault="00000000" w:rsidRPr="00000000" w14:paraId="000000C0">
            <w:pPr>
              <w:widowControl w:val="0"/>
              <w:rPr/>
            </w:pPr>
            <w:r w:rsidDel="00000000" w:rsidR="00000000" w:rsidRPr="00000000">
              <w:rPr>
                <w:rtl w:val="0"/>
              </w:rPr>
            </w:r>
          </w:p>
          <w:p w:rsidR="00000000" w:rsidDel="00000000" w:rsidP="00000000" w:rsidRDefault="00000000" w:rsidRPr="00000000" w14:paraId="000000C1">
            <w:pPr>
              <w:widowControl w:val="0"/>
              <w:rPr/>
            </w:pPr>
            <w:r w:rsidDel="00000000" w:rsidR="00000000" w:rsidRPr="00000000">
              <w:rPr>
                <w:rtl w:val="0"/>
              </w:rPr>
              <w:t xml:space="preserve">b)</w:t>
            </w:r>
          </w:p>
          <w:p w:rsidR="00000000" w:rsidDel="00000000" w:rsidP="00000000" w:rsidRDefault="00000000" w:rsidRPr="00000000" w14:paraId="000000C2">
            <w:pPr>
              <w:widowControl w:val="0"/>
              <w:spacing w:after="240" w:before="240" w:lineRule="auto"/>
              <w:rPr/>
            </w:pPr>
            <w:r w:rsidDel="00000000" w:rsidR="00000000" w:rsidRPr="00000000">
              <w:rPr>
                <w:rtl w:val="0"/>
              </w:rPr>
              <w:t xml:space="preserve">Making metacognition visible required calculated risk-taking. It meant instrumenting simulations at a granular level and redefining success metrics away from correctness alone.</w:t>
            </w:r>
          </w:p>
          <w:p w:rsidR="00000000" w:rsidDel="00000000" w:rsidP="00000000" w:rsidRDefault="00000000" w:rsidRPr="00000000" w14:paraId="000000C3">
            <w:pPr>
              <w:widowControl w:val="0"/>
              <w:spacing w:after="240" w:before="240" w:lineRule="auto"/>
              <w:rPr/>
            </w:pPr>
            <w:r w:rsidDel="00000000" w:rsidR="00000000" w:rsidRPr="00000000">
              <w:rPr>
                <w:rtl w:val="0"/>
              </w:rPr>
              <w:t xml:space="preserve">The team balanced innovation with responsibility by embedding the solution within SLS, ensuring governance alignment and teacher oversight. By prioritising visibility of thinking over performance metrics, the project establishes a scalable model for how digital learning can cultivate metacognitive growth within the SLS learning ecosystem.</w:t>
            </w:r>
          </w:p>
          <w:p w:rsidR="00000000" w:rsidDel="00000000" w:rsidP="00000000" w:rsidRDefault="00000000" w:rsidRPr="00000000" w14:paraId="000000C4">
            <w:pPr>
              <w:widowControl w:val="0"/>
              <w:spacing w:after="240" w:before="240" w:lineRule="auto"/>
              <w:rPr/>
            </w:pPr>
            <w:r w:rsidDel="00000000" w:rsidR="00000000" w:rsidRPr="00000000">
              <w:rPr>
                <w:rtl w:val="0"/>
              </w:rPr>
              <w:t xml:space="preserve">400 words</w:t>
            </w:r>
          </w:p>
          <w:p w:rsidR="00000000" w:rsidDel="00000000" w:rsidP="00000000" w:rsidRDefault="00000000" w:rsidRPr="00000000" w14:paraId="000000C5">
            <w:pPr>
              <w:widowControl w:val="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rPr/>
            </w:pPr>
            <w:r w:rsidDel="00000000" w:rsidR="00000000" w:rsidRPr="00000000">
              <w:rPr>
                <w:rtl w:val="0"/>
              </w:rPr>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gridCol w:w="1"/>
        <w:gridCol w:w="1"/>
        <w:gridCol w:w="1"/>
        <w:gridCol w:w="1"/>
        <w:gridCol w:w="1"/>
        <w:gridCol w:w="1"/>
        <w:gridCol w:w="1"/>
        <w:gridCol w:w="1"/>
        <w:gridCol w:w="1"/>
        <w:gridCol w:w="1"/>
        <w:gridCol w:w="1"/>
        <w:gridCol w:w="1"/>
        <w:tblGridChange w:id="0">
          <w:tblGrid>
            <w:gridCol w:w="9360"/>
            <w:gridCol w:w="1"/>
            <w:gridCol w:w="1"/>
            <w:gridCol w:w="1"/>
            <w:gridCol w:w="1"/>
            <w:gridCol w:w="1"/>
            <w:gridCol w:w="1"/>
            <w:gridCol w:w="1"/>
            <w:gridCol w:w="1"/>
            <w:gridCol w:w="1"/>
            <w:gridCol w:w="1"/>
            <w:gridCol w:w="1"/>
            <w:gridCol w:w="1"/>
            <w:gridCol w:w="1"/>
          </w:tblGrid>
        </w:tblGridChange>
      </w:tblGrid>
      <w:tr>
        <w:trPr>
          <w:cantSplit w:val="0"/>
          <w:trHeight w:val="360" w:hRule="atLeast"/>
          <w:tblHeader w:val="0"/>
        </w:trPr>
        <w:tc>
          <w:tcPr>
            <w:gridSpan w:val="14"/>
            <w:tcBorders>
              <w:top w:color="000000" w:space="0" w:sz="9" w:val="single"/>
              <w:left w:color="000000" w:space="0" w:sz="9" w:val="single"/>
              <w:bottom w:color="000000" w:space="0" w:sz="9" w:val="single"/>
              <w:right w:color="000000" w:space="0" w:sz="9" w:val="single"/>
            </w:tcBorders>
            <w:shd w:fill="d8d8d8" w:val="clear"/>
            <w:tcMar>
              <w:top w:w="0.0" w:type="dxa"/>
              <w:left w:w="40.0" w:type="dxa"/>
              <w:bottom w:w="0.0" w:type="dxa"/>
              <w:right w:w="40.0" w:type="dxa"/>
            </w:tcMar>
            <w:vAlign w:val="center"/>
          </w:tcPr>
          <w:p w:rsidR="00000000" w:rsidDel="00000000" w:rsidP="00000000" w:rsidRDefault="00000000" w:rsidRPr="00000000" w14:paraId="000000F2">
            <w:pPr>
              <w:widowControl w:val="0"/>
              <w:rPr/>
            </w:pPr>
            <w:r w:rsidDel="00000000" w:rsidR="00000000" w:rsidRPr="00000000">
              <w:rPr>
                <w:b w:val="1"/>
                <w:bCs w:val="1"/>
                <w:sz w:val="20"/>
                <w:szCs w:val="20"/>
                <w:rtl w:val="0"/>
              </w:rPr>
              <w:t xml:space="preserve">Criterion 3: Benefits and impact to stakeholders [25%] (max 400 words)</w:t>
            </w:r>
            <w:r w:rsidDel="00000000" w:rsidR="00000000" w:rsidRPr="00000000">
              <w:rPr>
                <w:rtl w:val="0"/>
              </w:rPr>
            </w:r>
          </w:p>
        </w:tc>
      </w:tr>
      <w:tr>
        <w:trPr>
          <w:cantSplit w:val="0"/>
          <w:trHeight w:val="1185"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center"/>
          </w:tcPr>
          <w:p w:rsidR="00000000" w:rsidDel="00000000" w:rsidP="00000000" w:rsidRDefault="00000000" w:rsidRPr="00000000" w14:paraId="00000100">
            <w:pPr>
              <w:widowControl w:val="0"/>
              <w:rPr>
                <w:sz w:val="20"/>
                <w:szCs w:val="20"/>
              </w:rPr>
            </w:pPr>
            <w:r w:rsidDel="00000000" w:rsidR="00000000" w:rsidRPr="00000000">
              <w:rPr>
                <w:sz w:val="20"/>
                <w:szCs w:val="20"/>
                <w:rtl w:val="0"/>
              </w:rPr>
              <w:t xml:space="preserve">a) Provide a clear description of the benefits that were actually achieved.</w:t>
            </w:r>
          </w:p>
          <w:p w:rsidR="00000000" w:rsidDel="00000000" w:rsidP="00000000" w:rsidRDefault="00000000" w:rsidRPr="00000000" w14:paraId="00000101">
            <w:pPr>
              <w:widowControl w:val="0"/>
              <w:rPr>
                <w:sz w:val="20"/>
                <w:szCs w:val="20"/>
              </w:rPr>
            </w:pPr>
            <w:r w:rsidDel="00000000" w:rsidR="00000000" w:rsidRPr="00000000">
              <w:rPr>
                <w:sz w:val="20"/>
                <w:szCs w:val="20"/>
                <w:rtl w:val="0"/>
              </w:rPr>
              <w:t xml:space="preserve">b) Demonstrate the impact of the solution on the intended users and stakeholders (e.g. students, colleagues, schools, parents, agencies). For academic/T&amp;L projects, clearly articulate how the project has helped to improve outcomes such as in student learning, innovation in assessment or professional development for teachers.</w:t>
            </w:r>
          </w:p>
          <w:p w:rsidR="00000000" w:rsidDel="00000000" w:rsidP="00000000" w:rsidRDefault="00000000" w:rsidRPr="00000000" w14:paraId="00000102">
            <w:pPr>
              <w:widowControl w:val="0"/>
              <w:rPr/>
            </w:pPr>
            <w:r w:rsidDel="00000000" w:rsidR="00000000" w:rsidRPr="00000000">
              <w:rPr>
                <w:sz w:val="20"/>
                <w:szCs w:val="20"/>
                <w:rtl w:val="0"/>
              </w:rPr>
              <w:t xml:space="preserve">c) Include a pre- and post- comparison in qualitative and/or quantitative terms (e.g., time/cost savings, higher accuracy, better student outcomes, etc.). The table below is optional and may be used for your comparison findings.</w:t>
            </w:r>
            <w:r w:rsidDel="00000000" w:rsidR="00000000" w:rsidRPr="00000000">
              <w:rPr>
                <w:rtl w:val="0"/>
              </w:rPr>
            </w:r>
          </w:p>
        </w:tc>
      </w:tr>
      <w:tr>
        <w:trPr>
          <w:cantSplit w:val="0"/>
          <w:trHeight w:val="7215" w:hRule="atLeast"/>
          <w:tblHeader w:val="0"/>
        </w:trPr>
        <w:tc>
          <w:tcPr>
            <w:gridSpan w:val="14"/>
            <w:vMerge w:val="restart"/>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10">
            <w:pPr>
              <w:widowControl w:val="0"/>
              <w:rPr>
                <w:sz w:val="20"/>
                <w:szCs w:val="20"/>
              </w:rPr>
            </w:pPr>
            <w:r w:rsidDel="00000000" w:rsidR="00000000" w:rsidRPr="00000000">
              <w:rPr>
                <w:sz w:val="20"/>
                <w:szCs w:val="20"/>
                <w:rtl w:val="0"/>
              </w:rPr>
              <w:t xml:space="preserve">a)</w:t>
            </w:r>
          </w:p>
          <w:p w:rsidR="00000000" w:rsidDel="00000000" w:rsidP="00000000" w:rsidRDefault="00000000" w:rsidRPr="00000000" w14:paraId="00000111">
            <w:pPr>
              <w:widowControl w:val="0"/>
              <w:spacing w:after="240" w:before="240" w:lineRule="auto"/>
              <w:rPr>
                <w:sz w:val="20"/>
                <w:szCs w:val="20"/>
              </w:rPr>
            </w:pPr>
            <w:r w:rsidDel="00000000" w:rsidR="00000000" w:rsidRPr="00000000">
              <w:rPr>
                <w:sz w:val="20"/>
                <w:szCs w:val="20"/>
                <w:rtl w:val="0"/>
              </w:rPr>
              <w:t xml:space="preserve">The most significant benefit achieved is the systematic visibility of students’ metacognitive thinking.</w:t>
            </w:r>
          </w:p>
          <w:p w:rsidR="00000000" w:rsidDel="00000000" w:rsidP="00000000" w:rsidRDefault="00000000" w:rsidRPr="00000000" w14:paraId="00000112">
            <w:pPr>
              <w:widowControl w:val="0"/>
              <w:spacing w:after="240" w:before="240" w:lineRule="auto"/>
              <w:rPr>
                <w:sz w:val="20"/>
                <w:szCs w:val="20"/>
              </w:rPr>
            </w:pPr>
            <w:r w:rsidDel="00000000" w:rsidR="00000000" w:rsidRPr="00000000">
              <w:rPr>
                <w:sz w:val="20"/>
                <w:szCs w:val="20"/>
                <w:rtl w:val="0"/>
              </w:rPr>
              <w:t xml:space="preserve">Previously, teachers could only see final answers or hear reasoning from a small number of vocal students. With the xAPI-enabled interactives, students’ learning journeys — including attempts, revisions, sequencing decisions and strategy shifts — are captured and made visible.</w:t>
            </w:r>
          </w:p>
          <w:p w:rsidR="00000000" w:rsidDel="00000000" w:rsidP="00000000" w:rsidRDefault="00000000" w:rsidRPr="00000000" w14:paraId="00000113">
            <w:pPr>
              <w:widowControl w:val="0"/>
              <w:spacing w:after="240" w:before="240" w:lineRule="auto"/>
              <w:rPr>
                <w:sz w:val="20"/>
                <w:szCs w:val="20"/>
              </w:rPr>
            </w:pPr>
            <w:r w:rsidDel="00000000" w:rsidR="00000000" w:rsidRPr="00000000">
              <w:rPr>
                <w:sz w:val="20"/>
                <w:szCs w:val="20"/>
                <w:rtl w:val="0"/>
              </w:rPr>
              <w:t xml:space="preserve">Students can now review their own action history. This strengthens:</w:t>
            </w:r>
          </w:p>
          <w:p w:rsidR="00000000" w:rsidDel="00000000" w:rsidP="00000000" w:rsidRDefault="00000000" w:rsidRPr="00000000" w14:paraId="00000114">
            <w:pPr>
              <w:widowControl w:val="0"/>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Awareness of strategy use</w:t>
              <w:br w:type="textWrapping"/>
            </w:r>
          </w:p>
          <w:p w:rsidR="00000000" w:rsidDel="00000000" w:rsidP="00000000" w:rsidRDefault="00000000" w:rsidRPr="00000000" w14:paraId="00000115">
            <w:pPr>
              <w:widowControl w:val="0"/>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Monitoring of effectiveness</w:t>
              <w:br w:type="textWrapping"/>
            </w:r>
          </w:p>
          <w:p w:rsidR="00000000" w:rsidDel="00000000" w:rsidP="00000000" w:rsidRDefault="00000000" w:rsidRPr="00000000" w14:paraId="00000116">
            <w:pPr>
              <w:widowControl w:val="0"/>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Regulation of approach</w:t>
              <w:br w:type="textWrapping"/>
            </w:r>
          </w:p>
          <w:p w:rsidR="00000000" w:rsidDel="00000000" w:rsidP="00000000" w:rsidRDefault="00000000" w:rsidRPr="00000000" w14:paraId="00000117">
            <w:pPr>
              <w:widowControl w:val="0"/>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Reflection on why they changed methods</w:t>
            </w:r>
          </w:p>
          <w:p w:rsidR="00000000" w:rsidDel="00000000" w:rsidP="00000000" w:rsidRDefault="00000000" w:rsidRPr="00000000" w14:paraId="00000118">
            <w:pPr>
              <w:widowControl w:val="0"/>
              <w:spacing w:after="240" w:before="240" w:lineRule="auto"/>
              <w:rPr>
                <w:sz w:val="20"/>
                <w:szCs w:val="20"/>
              </w:rPr>
            </w:pPr>
            <w:r w:rsidDel="00000000" w:rsidR="00000000" w:rsidRPr="00000000">
              <w:rPr>
                <w:sz w:val="20"/>
                <w:szCs w:val="20"/>
                <w:rtl w:val="0"/>
              </w:rPr>
              <w:t xml:space="preserve">Teachers gain whole-class visibility of 21CC processes (Annex 6) such as critical and adaptive thinking. Rather than diagnosing errors after incorrect answers, teachers can identify inefficient strategies, lack of planning or premature trial-and-error approaches.</w:t>
            </w:r>
          </w:p>
          <w:p w:rsidR="00000000" w:rsidDel="00000000" w:rsidP="00000000" w:rsidRDefault="00000000" w:rsidRPr="00000000" w14:paraId="00000119">
            <w:pPr>
              <w:widowControl w:val="0"/>
              <w:spacing w:after="240" w:before="240" w:lineRule="auto"/>
              <w:rPr>
                <w:sz w:val="20"/>
                <w:szCs w:val="20"/>
              </w:rPr>
            </w:pPr>
            <w:r w:rsidDel="00000000" w:rsidR="00000000" w:rsidRPr="00000000">
              <w:rPr>
                <w:sz w:val="20"/>
                <w:szCs w:val="20"/>
                <w:rtl w:val="0"/>
              </w:rPr>
              <w:t xml:space="preserve">Further insights can be derived using AI tools to analyse the interaction data (Annex 7). For example, analysis of a student’s activity data showed evidence of </w:t>
            </w:r>
            <w:r w:rsidDel="00000000" w:rsidR="00000000" w:rsidRPr="00000000">
              <w:rPr>
                <w:b w:val="1"/>
                <w:bCs w:val="1"/>
                <w:sz w:val="20"/>
                <w:szCs w:val="20"/>
                <w:rtl w:val="0"/>
              </w:rPr>
              <w:t xml:space="preserve">metacognitive knowledge</w:t>
            </w:r>
            <w:r w:rsidDel="00000000" w:rsidR="00000000" w:rsidRPr="00000000">
              <w:rPr>
                <w:sz w:val="20"/>
                <w:szCs w:val="20"/>
                <w:rtl w:val="0"/>
              </w:rPr>
              <w:t xml:space="preserve">, including declarative knowledge (awareness of task requirements), procedural knowledge (evolving strategies across attempts), and conditional knowledge (deciding when to adjust strategies). The same dataset also demonstrated </w:t>
            </w:r>
            <w:r w:rsidDel="00000000" w:rsidR="00000000" w:rsidRPr="00000000">
              <w:rPr>
                <w:b w:val="1"/>
                <w:bCs w:val="1"/>
                <w:sz w:val="20"/>
                <w:szCs w:val="20"/>
                <w:rtl w:val="0"/>
              </w:rPr>
              <w:t xml:space="preserve">critical thinking skills</w:t>
            </w:r>
            <w:r w:rsidDel="00000000" w:rsidR="00000000" w:rsidRPr="00000000">
              <w:rPr>
                <w:sz w:val="20"/>
                <w:szCs w:val="20"/>
                <w:rtl w:val="0"/>
              </w:rPr>
              <w:t xml:space="preserve">, where students reflected on failed attempts and adapted their strategies in subsequent attempts. Such analysis provides teachers with deeper insight into students’ thinking processes beyond correctness.</w:t>
            </w:r>
          </w:p>
          <w:p w:rsidR="00000000" w:rsidDel="00000000" w:rsidP="00000000" w:rsidRDefault="00000000" w:rsidRPr="00000000" w14:paraId="0000011A">
            <w:pPr>
              <w:widowControl w:val="0"/>
              <w:spacing w:after="240" w:before="240" w:lineRule="auto"/>
              <w:rPr>
                <w:sz w:val="20"/>
                <w:szCs w:val="20"/>
              </w:rPr>
            </w:pPr>
            <w:r w:rsidDel="00000000" w:rsidR="00000000" w:rsidRPr="00000000">
              <w:rPr>
                <w:sz w:val="20"/>
                <w:szCs w:val="20"/>
                <w:rtl w:val="0"/>
              </w:rPr>
              <w:t xml:space="preserve">The interactives therefore function not merely as practice tools, but as structured environments for developing metacognitive awareness.</w:t>
            </w:r>
          </w:p>
          <w:p w:rsidR="00000000" w:rsidDel="00000000" w:rsidP="00000000" w:rsidRDefault="00000000" w:rsidRPr="00000000" w14:paraId="0000011B">
            <w:pPr>
              <w:widowControl w:val="0"/>
              <w:rPr>
                <w:sz w:val="20"/>
                <w:szCs w:val="20"/>
              </w:rPr>
            </w:pPr>
            <w:r w:rsidDel="00000000" w:rsidR="00000000" w:rsidRPr="00000000">
              <w:rPr>
                <w:sz w:val="20"/>
                <w:szCs w:val="20"/>
                <w:rtl w:val="0"/>
              </w:rPr>
              <w:t xml:space="preserve">b)</w:t>
            </w:r>
          </w:p>
          <w:p w:rsidR="00000000" w:rsidDel="00000000" w:rsidP="00000000" w:rsidRDefault="00000000" w:rsidRPr="00000000" w14:paraId="0000011C">
            <w:pPr>
              <w:widowControl w:val="0"/>
              <w:spacing w:after="240" w:before="240" w:lineRule="auto"/>
              <w:rPr>
                <w:sz w:val="20"/>
                <w:szCs w:val="20"/>
              </w:rPr>
            </w:pPr>
            <w:r w:rsidDel="00000000" w:rsidR="00000000" w:rsidRPr="00000000">
              <w:rPr>
                <w:b w:val="1"/>
                <w:bCs w:val="1"/>
                <w:sz w:val="20"/>
                <w:szCs w:val="20"/>
                <w:rtl w:val="0"/>
              </w:rPr>
              <w:t xml:space="preserve">Students:</w:t>
              <w:br w:type="textWrapping"/>
            </w:r>
            <w:r w:rsidDel="00000000" w:rsidR="00000000" w:rsidRPr="00000000">
              <w:rPr>
                <w:sz w:val="20"/>
                <w:szCs w:val="20"/>
                <w:rtl w:val="0"/>
              </w:rPr>
              <w:t xml:space="preserve"> Students shifted from focusing on “getting it right” to examining </w:t>
            </w:r>
            <w:r w:rsidDel="00000000" w:rsidR="00000000" w:rsidRPr="00000000">
              <w:rPr>
                <w:i w:val="1"/>
                <w:iCs w:val="1"/>
                <w:sz w:val="20"/>
                <w:szCs w:val="20"/>
                <w:rtl w:val="0"/>
              </w:rPr>
              <w:t xml:space="preserve">how</w:t>
            </w:r>
            <w:r w:rsidDel="00000000" w:rsidR="00000000" w:rsidRPr="00000000">
              <w:rPr>
                <w:sz w:val="20"/>
                <w:szCs w:val="20"/>
                <w:rtl w:val="0"/>
              </w:rPr>
              <w:t xml:space="preserve"> they solved problems. The ability to see their own attempts encouraged reflection and persistence. Classroom discussions became strategy-focused rather than answer-focused, deepening conceptual understanding.</w:t>
            </w:r>
          </w:p>
          <w:p w:rsidR="00000000" w:rsidDel="00000000" w:rsidP="00000000" w:rsidRDefault="00000000" w:rsidRPr="00000000" w14:paraId="0000011D">
            <w:pPr>
              <w:widowControl w:val="0"/>
              <w:spacing w:after="240" w:before="240" w:lineRule="auto"/>
              <w:rPr>
                <w:sz w:val="20"/>
                <w:szCs w:val="20"/>
              </w:rPr>
            </w:pPr>
            <w:r w:rsidDel="00000000" w:rsidR="00000000" w:rsidRPr="00000000">
              <w:rPr>
                <w:b w:val="1"/>
                <w:bCs w:val="1"/>
                <w:sz w:val="20"/>
                <w:szCs w:val="20"/>
                <w:rtl w:val="0"/>
              </w:rPr>
              <w:t xml:space="preserve">Teachers:</w:t>
              <w:br w:type="textWrapping"/>
            </w:r>
            <w:r w:rsidDel="00000000" w:rsidR="00000000" w:rsidRPr="00000000">
              <w:rPr>
                <w:sz w:val="20"/>
                <w:szCs w:val="20"/>
                <w:rtl w:val="0"/>
              </w:rPr>
              <w:t xml:space="preserve"> Teachers gained evidence of students’ thinking processes across the entire class, not just those who volunteered explanations. This improved questioning, differentiation and targeted support for students struggling with planning or regulation.</w:t>
            </w:r>
          </w:p>
          <w:p w:rsidR="00000000" w:rsidDel="00000000" w:rsidP="00000000" w:rsidRDefault="00000000" w:rsidRPr="00000000" w14:paraId="0000011E">
            <w:pPr>
              <w:widowControl w:val="0"/>
              <w:spacing w:after="240" w:before="240" w:lineRule="auto"/>
              <w:rPr>
                <w:sz w:val="20"/>
                <w:szCs w:val="20"/>
              </w:rPr>
            </w:pPr>
            <w:r w:rsidDel="00000000" w:rsidR="00000000" w:rsidRPr="00000000">
              <w:rPr>
                <w:b w:val="1"/>
                <w:bCs w:val="1"/>
                <w:sz w:val="20"/>
                <w:szCs w:val="20"/>
                <w:rtl w:val="0"/>
              </w:rPr>
              <w:t xml:space="preserve">Schools:</w:t>
              <w:br w:type="textWrapping"/>
            </w:r>
            <w:r w:rsidDel="00000000" w:rsidR="00000000" w:rsidRPr="00000000">
              <w:rPr>
                <w:sz w:val="20"/>
                <w:szCs w:val="20"/>
                <w:rtl w:val="0"/>
              </w:rPr>
              <w:t xml:space="preserve"> Schools benefited from curriculum-aligned resources that promote higher-order thinking and metacognition at scale. The approach strengthens blended learning by combining digital exploration with structured classroom discussion.</w:t>
            </w:r>
          </w:p>
          <w:p w:rsidR="00000000" w:rsidDel="00000000" w:rsidP="00000000" w:rsidRDefault="00000000" w:rsidRPr="00000000" w14:paraId="0000011F">
            <w:pPr>
              <w:widowControl w:val="0"/>
              <w:spacing w:after="240" w:before="240" w:lineRule="auto"/>
              <w:rPr>
                <w:sz w:val="20"/>
                <w:szCs w:val="20"/>
              </w:rPr>
            </w:pPr>
            <w:r w:rsidDel="00000000" w:rsidR="00000000" w:rsidRPr="00000000">
              <w:rPr>
                <w:b w:val="1"/>
                <w:bCs w:val="1"/>
                <w:sz w:val="20"/>
                <w:szCs w:val="20"/>
                <w:rtl w:val="0"/>
              </w:rPr>
              <w:t xml:space="preserve">System-level:</w:t>
              <w:br w:type="textWrapping"/>
            </w:r>
            <w:r w:rsidDel="00000000" w:rsidR="00000000" w:rsidRPr="00000000">
              <w:rPr>
                <w:sz w:val="20"/>
                <w:szCs w:val="20"/>
                <w:rtl w:val="0"/>
              </w:rPr>
              <w:t xml:space="preserve"> The project establishes a scalable model for making metacognitive processes visible through digital infrastructure, supporting national priorities in 21CC development..</w:t>
            </w:r>
          </w:p>
          <w:p w:rsidR="00000000" w:rsidDel="00000000" w:rsidP="00000000" w:rsidRDefault="00000000" w:rsidRPr="00000000" w14:paraId="00000120">
            <w:pPr>
              <w:widowControl w:val="0"/>
              <w:rPr>
                <w:sz w:val="20"/>
                <w:szCs w:val="20"/>
              </w:rPr>
            </w:pPr>
            <w:r w:rsidDel="00000000" w:rsidR="00000000" w:rsidRPr="00000000">
              <w:rPr>
                <w:rtl w:val="0"/>
              </w:rPr>
            </w:r>
          </w:p>
          <w:p w:rsidR="00000000" w:rsidDel="00000000" w:rsidP="00000000" w:rsidRDefault="00000000" w:rsidRPr="00000000" w14:paraId="00000121">
            <w:pPr>
              <w:widowControl w:val="0"/>
              <w:rPr>
                <w:sz w:val="20"/>
                <w:szCs w:val="20"/>
              </w:rPr>
            </w:pPr>
            <w:r w:rsidDel="00000000" w:rsidR="00000000" w:rsidRPr="00000000">
              <w:rPr>
                <w:sz w:val="20"/>
                <w:szCs w:val="20"/>
                <w:rtl w:val="0"/>
              </w:rPr>
              <w:t xml:space="preserve">c)</w:t>
            </w:r>
          </w:p>
          <w:p w:rsidR="00000000" w:rsidDel="00000000" w:rsidP="00000000" w:rsidRDefault="00000000" w:rsidRPr="00000000" w14:paraId="00000122">
            <w:pPr>
              <w:widowControl w:val="0"/>
              <w:rPr>
                <w:sz w:val="20"/>
                <w:szCs w:val="20"/>
              </w:rPr>
            </w:pPr>
            <w:r w:rsidDel="00000000" w:rsidR="00000000" w:rsidRPr="00000000">
              <w:rPr>
                <w:sz w:val="20"/>
                <w:szCs w:val="20"/>
                <w:rtl w:val="0"/>
              </w:rPr>
              <w:t xml:space="preserve">|</w:t>
            </w:r>
          </w:p>
          <w:tbl>
            <w:tblPr>
              <w:tblStyle w:val="Table5"/>
              <w:tblW w:w="94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90"/>
              <w:gridCol w:w="2540"/>
              <w:gridCol w:w="4520"/>
              <w:tblGridChange w:id="0">
                <w:tblGrid>
                  <w:gridCol w:w="2390"/>
                  <w:gridCol w:w="2540"/>
                  <w:gridCol w:w="452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jc w:val="center"/>
                    <w:rPr>
                      <w:sz w:val="20"/>
                      <w:szCs w:val="20"/>
                    </w:rPr>
                  </w:pPr>
                  <w:r w:rsidDel="00000000" w:rsidR="00000000" w:rsidRPr="00000000">
                    <w:rPr>
                      <w:b w:val="1"/>
                      <w:bCs w:val="1"/>
                      <w:sz w:val="20"/>
                      <w:szCs w:val="20"/>
                      <w:rtl w:val="0"/>
                    </w:rPr>
                    <w:t xml:space="preserve">Area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jc w:val="center"/>
                    <w:rPr>
                      <w:sz w:val="20"/>
                      <w:szCs w:val="20"/>
                    </w:rPr>
                  </w:pPr>
                  <w:r w:rsidDel="00000000" w:rsidR="00000000" w:rsidRPr="00000000">
                    <w:rPr>
                      <w:b w:val="1"/>
                      <w:bCs w:val="1"/>
                      <w:sz w:val="20"/>
                      <w:szCs w:val="20"/>
                      <w:rtl w:val="0"/>
                    </w:rPr>
                    <w:t xml:space="preserve">Before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jc w:val="center"/>
                    <w:rPr>
                      <w:sz w:val="20"/>
                      <w:szCs w:val="20"/>
                    </w:rPr>
                  </w:pPr>
                  <w:r w:rsidDel="00000000" w:rsidR="00000000" w:rsidRPr="00000000">
                    <w:rPr>
                      <w:b w:val="1"/>
                      <w:bCs w:val="1"/>
                      <w:sz w:val="20"/>
                      <w:szCs w:val="20"/>
                      <w:rtl w:val="0"/>
                    </w:rPr>
                    <w:t xml:space="preserve">After</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rPr>
                      <w:sz w:val="20"/>
                      <w:szCs w:val="20"/>
                    </w:rPr>
                  </w:pPr>
                  <w:r w:rsidDel="00000000" w:rsidR="00000000" w:rsidRPr="00000000">
                    <w:rPr>
                      <w:sz w:val="20"/>
                      <w:szCs w:val="20"/>
                      <w:rtl w:val="0"/>
                    </w:rPr>
                    <w:t xml:space="preserve">Evidence of Thinking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widowControl w:val="0"/>
                    <w:rPr>
                      <w:sz w:val="20"/>
                      <w:szCs w:val="20"/>
                    </w:rPr>
                  </w:pPr>
                  <w:r w:rsidDel="00000000" w:rsidR="00000000" w:rsidRPr="00000000">
                    <w:rPr>
                      <w:sz w:val="20"/>
                      <w:szCs w:val="20"/>
                      <w:rtl w:val="0"/>
                    </w:rPr>
                    <w:t xml:space="preserve">Final answers only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widowControl w:val="0"/>
                    <w:rPr>
                      <w:sz w:val="20"/>
                      <w:szCs w:val="20"/>
                    </w:rPr>
                  </w:pPr>
                  <w:r w:rsidDel="00000000" w:rsidR="00000000" w:rsidRPr="00000000">
                    <w:rPr>
                      <w:sz w:val="20"/>
                      <w:szCs w:val="20"/>
                      <w:rtl w:val="0"/>
                    </w:rPr>
                    <w:t xml:space="preserve">Visible attempts, revisions and strategy shifts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rPr>
                      <w:sz w:val="20"/>
                      <w:szCs w:val="20"/>
                    </w:rPr>
                  </w:pPr>
                  <w:r w:rsidDel="00000000" w:rsidR="00000000" w:rsidRPr="00000000">
                    <w:rPr>
                      <w:sz w:val="20"/>
                      <w:szCs w:val="20"/>
                      <w:rtl w:val="0"/>
                    </w:rPr>
                    <w:t xml:space="preserve">Student Reflection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rPr>
                      <w:sz w:val="20"/>
                      <w:szCs w:val="20"/>
                    </w:rPr>
                  </w:pPr>
                  <w:r w:rsidDel="00000000" w:rsidR="00000000" w:rsidRPr="00000000">
                    <w:rPr>
                      <w:sz w:val="20"/>
                      <w:szCs w:val="20"/>
                      <w:rtl w:val="0"/>
                    </w:rPr>
                    <w:t xml:space="preserve">Limited and verbal-only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B">
                  <w:pPr>
                    <w:widowControl w:val="0"/>
                    <w:rPr>
                      <w:sz w:val="20"/>
                      <w:szCs w:val="20"/>
                    </w:rPr>
                  </w:pPr>
                  <w:r w:rsidDel="00000000" w:rsidR="00000000" w:rsidRPr="00000000">
                    <w:rPr>
                      <w:sz w:val="20"/>
                      <w:szCs w:val="20"/>
                      <w:rtl w:val="0"/>
                    </w:rPr>
                    <w:t xml:space="preserve">Structured self-review of action history</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C">
                  <w:pPr>
                    <w:widowControl w:val="0"/>
                    <w:rPr>
                      <w:sz w:val="20"/>
                      <w:szCs w:val="20"/>
                    </w:rPr>
                  </w:pPr>
                  <w:r w:rsidDel="00000000" w:rsidR="00000000" w:rsidRPr="00000000">
                    <w:rPr>
                      <w:sz w:val="20"/>
                      <w:szCs w:val="20"/>
                      <w:rtl w:val="0"/>
                    </w:rPr>
                    <w:t xml:space="preserve">Classroom Discussion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D">
                  <w:pPr>
                    <w:widowControl w:val="0"/>
                    <w:rPr>
                      <w:sz w:val="20"/>
                      <w:szCs w:val="20"/>
                    </w:rPr>
                  </w:pPr>
                  <w:r w:rsidDel="00000000" w:rsidR="00000000" w:rsidRPr="00000000">
                    <w:rPr>
                      <w:sz w:val="20"/>
                      <w:szCs w:val="20"/>
                      <w:rtl w:val="0"/>
                    </w:rPr>
                    <w:t xml:space="preserve">Answer-focused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widowControl w:val="0"/>
                    <w:rPr>
                      <w:sz w:val="20"/>
                      <w:szCs w:val="20"/>
                    </w:rPr>
                  </w:pPr>
                  <w:r w:rsidDel="00000000" w:rsidR="00000000" w:rsidRPr="00000000">
                    <w:rPr>
                      <w:sz w:val="20"/>
                      <w:szCs w:val="20"/>
                      <w:rtl w:val="0"/>
                    </w:rPr>
                    <w:t xml:space="preserve">Strategy- and reasoning-focused</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widowControl w:val="0"/>
                    <w:rPr>
                      <w:sz w:val="20"/>
                      <w:szCs w:val="20"/>
                    </w:rPr>
                  </w:pPr>
                  <w:r w:rsidDel="00000000" w:rsidR="00000000" w:rsidRPr="00000000">
                    <w:rPr>
                      <w:sz w:val="20"/>
                      <w:szCs w:val="20"/>
                      <w:rtl w:val="0"/>
                    </w:rPr>
                    <w:t xml:space="preserve">Teacher Diagnosis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widowControl w:val="0"/>
                    <w:rPr>
                      <w:sz w:val="20"/>
                      <w:szCs w:val="20"/>
                    </w:rPr>
                  </w:pPr>
                  <w:r w:rsidDel="00000000" w:rsidR="00000000" w:rsidRPr="00000000">
                    <w:rPr>
                      <w:sz w:val="20"/>
                      <w:szCs w:val="20"/>
                      <w:rtl w:val="0"/>
                    </w:rPr>
                    <w:t xml:space="preserve">Reactive (after errors)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widowControl w:val="0"/>
                    <w:rPr>
                      <w:sz w:val="20"/>
                      <w:szCs w:val="20"/>
                    </w:rPr>
                  </w:pPr>
                  <w:r w:rsidDel="00000000" w:rsidR="00000000" w:rsidRPr="00000000">
                    <w:rPr>
                      <w:sz w:val="20"/>
                      <w:szCs w:val="20"/>
                      <w:rtl w:val="0"/>
                    </w:rPr>
                    <w:t xml:space="preserve">Proactive (based on strategy patterns)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widowControl w:val="0"/>
                    <w:rPr>
                      <w:sz w:val="20"/>
                      <w:szCs w:val="20"/>
                    </w:rPr>
                  </w:pPr>
                  <w:r w:rsidDel="00000000" w:rsidR="00000000" w:rsidRPr="00000000">
                    <w:rPr>
                      <w:sz w:val="20"/>
                      <w:szCs w:val="20"/>
                      <w:rtl w:val="0"/>
                    </w:rPr>
                    <w:t xml:space="preserve">Development of 21CC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widowControl w:val="0"/>
                    <w:rPr>
                      <w:sz w:val="20"/>
                      <w:szCs w:val="20"/>
                    </w:rPr>
                  </w:pPr>
                  <w:r w:rsidDel="00000000" w:rsidR="00000000" w:rsidRPr="00000000">
                    <w:rPr>
                      <w:sz w:val="20"/>
                      <w:szCs w:val="20"/>
                      <w:rtl w:val="0"/>
                    </w:rPr>
                    <w:t xml:space="preserve">Implicit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widowControl w:val="0"/>
                    <w:rPr>
                      <w:sz w:val="20"/>
                      <w:szCs w:val="20"/>
                    </w:rPr>
                  </w:pPr>
                  <w:r w:rsidDel="00000000" w:rsidR="00000000" w:rsidRPr="00000000">
                    <w:rPr>
                      <w:sz w:val="20"/>
                      <w:szCs w:val="20"/>
                      <w:rtl w:val="0"/>
                    </w:rPr>
                    <w:t xml:space="preserve">Explicit and observable, after using AI to data analyse</w:t>
                  </w:r>
                </w:p>
              </w:tc>
            </w:tr>
          </w:tbl>
          <w:p w:rsidR="00000000" w:rsidDel="00000000" w:rsidP="00000000" w:rsidRDefault="00000000" w:rsidRPr="00000000" w14:paraId="00000135">
            <w:pPr>
              <w:widowControl w:val="0"/>
              <w:spacing w:after="240" w:before="240" w:lineRule="auto"/>
              <w:rPr>
                <w:sz w:val="20"/>
                <w:szCs w:val="20"/>
              </w:rPr>
            </w:pPr>
            <w:r w:rsidDel="00000000" w:rsidR="00000000" w:rsidRPr="00000000">
              <w:rPr>
                <w:sz w:val="20"/>
                <w:szCs w:val="20"/>
                <w:rtl w:val="0"/>
              </w:rPr>
              <w:t xml:space="preserve">Overall, the project transformed digital simulations into environments where metacognitive growth is intentionally cultivated, visible and discussable.</w:t>
            </w:r>
          </w:p>
          <w:p w:rsidR="00000000" w:rsidDel="00000000" w:rsidP="00000000" w:rsidRDefault="00000000" w:rsidRPr="00000000" w14:paraId="00000136">
            <w:pPr>
              <w:widowControl w:val="0"/>
              <w:spacing w:after="240" w:before="240" w:lineRule="auto"/>
              <w:rPr>
                <w:sz w:val="20"/>
                <w:szCs w:val="20"/>
              </w:rPr>
            </w:pPr>
            <w:r w:rsidDel="00000000" w:rsidR="00000000" w:rsidRPr="00000000">
              <w:rPr>
                <w:sz w:val="20"/>
                <w:szCs w:val="20"/>
                <w:rtl w:val="0"/>
              </w:rPr>
              <w:t xml:space="preserve">399 words</w:t>
            </w:r>
          </w:p>
          <w:p w:rsidR="00000000" w:rsidDel="00000000" w:rsidP="00000000" w:rsidRDefault="00000000" w:rsidRPr="00000000" w14:paraId="00000137">
            <w:pPr>
              <w:widowControl w:val="0"/>
              <w:rPr>
                <w:sz w:val="20"/>
                <w:szCs w:val="2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rPr/>
            </w:pPr>
            <w:r w:rsidDel="00000000" w:rsidR="00000000" w:rsidRPr="00000000">
              <w:rPr>
                <w:rtl w:val="0"/>
              </w:rPr>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31.660727013542"/>
        <w:gridCol w:w="133.33333333333334"/>
        <w:gridCol w:w="133.33333333333334"/>
        <w:gridCol w:w="133.33333333333334"/>
        <w:gridCol w:w="133.33333333333334"/>
        <w:gridCol w:w="3628.339272986457"/>
        <w:gridCol w:w="133.33333333333334"/>
        <w:gridCol w:w="133.33333333333334"/>
        <w:gridCol w:w="133.33333333333334"/>
        <w:gridCol w:w="133.33333333333334"/>
        <w:gridCol w:w="133.33333333333334"/>
        <w:gridCol w:w="133.33333333333334"/>
        <w:gridCol w:w="133.33333333333334"/>
        <w:gridCol w:w="133.33333333333334"/>
        <w:tblGridChange w:id="0">
          <w:tblGrid>
            <w:gridCol w:w="4131.660727013542"/>
            <w:gridCol w:w="133.33333333333334"/>
            <w:gridCol w:w="133.33333333333334"/>
            <w:gridCol w:w="133.33333333333334"/>
            <w:gridCol w:w="133.33333333333334"/>
            <w:gridCol w:w="3628.339272986457"/>
            <w:gridCol w:w="133.33333333333334"/>
            <w:gridCol w:w="133.33333333333334"/>
            <w:gridCol w:w="133.33333333333334"/>
            <w:gridCol w:w="133.33333333333334"/>
            <w:gridCol w:w="133.33333333333334"/>
            <w:gridCol w:w="133.33333333333334"/>
            <w:gridCol w:w="133.33333333333334"/>
            <w:gridCol w:w="133.33333333333334"/>
          </w:tblGrid>
        </w:tblGridChange>
      </w:tblGrid>
      <w:tr>
        <w:trPr>
          <w:cantSplit w:val="0"/>
          <w:trHeight w:val="420" w:hRule="atLeast"/>
          <w:tblHeader w:val="0"/>
        </w:trPr>
        <w:tc>
          <w:tcPr>
            <w:gridSpan w:val="14"/>
            <w:tcBorders>
              <w:top w:color="000000" w:space="0" w:sz="9" w:val="single"/>
              <w:left w:color="000000" w:space="0" w:sz="9" w:val="single"/>
              <w:bottom w:color="000000" w:space="0" w:sz="9" w:val="single"/>
              <w:right w:color="000000" w:space="0" w:sz="9" w:val="single"/>
            </w:tcBorders>
            <w:shd w:fill="d8d8d8" w:val="clear"/>
            <w:tcMar>
              <w:top w:w="0.0" w:type="dxa"/>
              <w:left w:w="40.0" w:type="dxa"/>
              <w:bottom w:w="0.0" w:type="dxa"/>
              <w:right w:w="40.0" w:type="dxa"/>
            </w:tcMar>
            <w:vAlign w:val="center"/>
          </w:tcPr>
          <w:p w:rsidR="00000000" w:rsidDel="00000000" w:rsidP="00000000" w:rsidRDefault="00000000" w:rsidRPr="00000000" w14:paraId="00000164">
            <w:pPr>
              <w:widowControl w:val="0"/>
              <w:jc w:val="center"/>
              <w:rPr/>
            </w:pPr>
            <w:r w:rsidDel="00000000" w:rsidR="00000000" w:rsidRPr="00000000">
              <w:rPr>
                <w:b w:val="1"/>
                <w:bCs w:val="1"/>
                <w:sz w:val="20"/>
                <w:szCs w:val="20"/>
                <w:rtl w:val="0"/>
              </w:rPr>
              <w:t xml:space="preserve">Comparison Table on Benefits and Impact to Stakeholders (If applicable)</w:t>
            </w:r>
            <w:r w:rsidDel="00000000" w:rsidR="00000000" w:rsidRPr="00000000">
              <w:rPr>
                <w:rtl w:val="0"/>
              </w:rPr>
            </w:r>
          </w:p>
        </w:tc>
      </w:tr>
      <w:tr>
        <w:trPr>
          <w:cantSplit w:val="0"/>
          <w:trHeight w:val="420" w:hRule="atLeast"/>
          <w:tblHeader w:val="0"/>
        </w:trPr>
        <w:tc>
          <w:tcPr>
            <w:gridSpan w:val="5"/>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center"/>
          </w:tcPr>
          <w:p w:rsidR="00000000" w:rsidDel="00000000" w:rsidP="00000000" w:rsidRDefault="00000000" w:rsidRPr="00000000" w14:paraId="00000172">
            <w:pPr>
              <w:widowControl w:val="0"/>
              <w:jc w:val="center"/>
              <w:rPr/>
            </w:pPr>
            <w:r w:rsidDel="00000000" w:rsidR="00000000" w:rsidRPr="00000000">
              <w:rPr>
                <w:b w:val="1"/>
                <w:bCs w:val="1"/>
                <w:sz w:val="20"/>
                <w:szCs w:val="20"/>
                <w:rtl w:val="0"/>
              </w:rPr>
              <w:t xml:space="preserve">Pre-implementation (Optional)</w:t>
            </w:r>
            <w:r w:rsidDel="00000000" w:rsidR="00000000" w:rsidRPr="00000000">
              <w:rPr>
                <w:rtl w:val="0"/>
              </w:rPr>
            </w:r>
          </w:p>
        </w:tc>
        <w:tc>
          <w:tcPr>
            <w:gridSpan w:val="9"/>
            <w:tcBorders>
              <w:top w:color="000000" w:space="0" w:sz="0" w:val="nil"/>
              <w:left w:color="000000" w:space="0" w:sz="0" w:val="nil"/>
              <w:bottom w:color="000000" w:space="0" w:sz="9" w:val="single"/>
              <w:right w:color="000000" w:space="0" w:sz="9" w:val="single"/>
            </w:tcBorders>
            <w:shd w:fill="e8e8e8" w:val="clear"/>
            <w:tcMar>
              <w:top w:w="0.0" w:type="dxa"/>
              <w:left w:w="40.0" w:type="dxa"/>
              <w:bottom w:w="0.0" w:type="dxa"/>
              <w:right w:w="40.0" w:type="dxa"/>
            </w:tcMar>
            <w:vAlign w:val="center"/>
          </w:tcPr>
          <w:p w:rsidR="00000000" w:rsidDel="00000000" w:rsidP="00000000" w:rsidRDefault="00000000" w:rsidRPr="00000000" w14:paraId="00000177">
            <w:pPr>
              <w:widowControl w:val="0"/>
              <w:jc w:val="center"/>
              <w:rPr/>
            </w:pPr>
            <w:r w:rsidDel="00000000" w:rsidR="00000000" w:rsidRPr="00000000">
              <w:rPr>
                <w:b w:val="1"/>
                <w:bCs w:val="1"/>
                <w:sz w:val="20"/>
                <w:szCs w:val="20"/>
                <w:rtl w:val="0"/>
              </w:rPr>
              <w:t xml:space="preserve">Post-implementation (Optional)</w:t>
            </w:r>
            <w:r w:rsidDel="00000000" w:rsidR="00000000" w:rsidRPr="00000000">
              <w:rPr>
                <w:rtl w:val="0"/>
              </w:rPr>
            </w:r>
          </w:p>
        </w:tc>
      </w:tr>
      <w:tr>
        <w:trPr>
          <w:cantSplit w:val="0"/>
          <w:trHeight w:val="600" w:hRule="atLeast"/>
          <w:tblHeader w:val="0"/>
        </w:trPr>
        <w:tc>
          <w:tcPr>
            <w:gridSpan w:val="5"/>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80">
            <w:pPr>
              <w:widowControl w:val="0"/>
              <w:rPr/>
            </w:pPr>
            <w:r w:rsidDel="00000000" w:rsidR="00000000" w:rsidRPr="00000000">
              <w:rPr>
                <w:sz w:val="20"/>
                <w:szCs w:val="20"/>
                <w:rtl w:val="0"/>
              </w:rPr>
              <w:t xml:space="preserve">Interactive tasks and textbook activities provided limited visibility into student thinking. Evidence came mainly from final answers or worksheet submissions.</w:t>
            </w:r>
            <w:r w:rsidDel="00000000" w:rsidR="00000000" w:rsidRPr="00000000">
              <w:rPr>
                <w:rtl w:val="0"/>
              </w:rPr>
            </w:r>
          </w:p>
        </w:tc>
        <w:tc>
          <w:tcPr>
            <w:gridSpan w:val="9"/>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85">
            <w:pPr>
              <w:widowControl w:val="0"/>
              <w:rPr/>
            </w:pPr>
            <w:r w:rsidDel="00000000" w:rsidR="00000000" w:rsidRPr="00000000">
              <w:rPr>
                <w:sz w:val="20"/>
                <w:szCs w:val="20"/>
                <w:rtl w:val="0"/>
              </w:rPr>
              <w:t xml:space="preserve">xAPI-enabled interactives make students’ thinking visible by capturing attempts, revisions, sequencing decisions and strategy shifts.</w:t>
            </w:r>
            <w:r w:rsidDel="00000000" w:rsidR="00000000" w:rsidRPr="00000000">
              <w:rPr>
                <w:rtl w:val="0"/>
              </w:rPr>
            </w:r>
          </w:p>
        </w:tc>
      </w:tr>
      <w:tr>
        <w:trPr>
          <w:cantSplit w:val="0"/>
          <w:trHeight w:val="585" w:hRule="atLeast"/>
          <w:tblHeader w:val="0"/>
        </w:trPr>
        <w:tc>
          <w:tcPr>
            <w:gridSpan w:val="5"/>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8E">
            <w:pPr>
              <w:widowControl w:val="0"/>
              <w:rPr/>
            </w:pPr>
            <w:r w:rsidDel="00000000" w:rsidR="00000000" w:rsidRPr="00000000">
              <w:rPr>
                <w:sz w:val="20"/>
                <w:szCs w:val="20"/>
                <w:rtl w:val="0"/>
              </w:rPr>
              <w:t xml:space="preserve">Teachers relied on observation and selective classroom discussion. Only a small number of students’ reasoning was surfaced.</w:t>
            </w:r>
            <w:r w:rsidDel="00000000" w:rsidR="00000000" w:rsidRPr="00000000">
              <w:rPr>
                <w:rtl w:val="0"/>
              </w:rPr>
            </w:r>
          </w:p>
        </w:tc>
        <w:tc>
          <w:tcPr>
            <w:gridSpan w:val="9"/>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93">
            <w:pPr>
              <w:widowControl w:val="0"/>
              <w:rPr/>
            </w:pPr>
            <w:r w:rsidDel="00000000" w:rsidR="00000000" w:rsidRPr="00000000">
              <w:rPr>
                <w:sz w:val="20"/>
                <w:szCs w:val="20"/>
                <w:rtl w:val="0"/>
              </w:rPr>
              <w:t xml:space="preserve">Teachers gain whole-class visibility of strategy patterns, enabling evidence-based discussion of planning, monitoring and regulation.</w:t>
            </w:r>
            <w:r w:rsidDel="00000000" w:rsidR="00000000" w:rsidRPr="00000000">
              <w:rPr>
                <w:rtl w:val="0"/>
              </w:rPr>
            </w:r>
          </w:p>
        </w:tc>
      </w:tr>
      <w:tr>
        <w:trPr>
          <w:cantSplit w:val="0"/>
          <w:trHeight w:val="585" w:hRule="atLeast"/>
          <w:tblHeader w:val="0"/>
        </w:trPr>
        <w:tc>
          <w:tcPr>
            <w:gridSpan w:val="5"/>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9C">
            <w:pPr>
              <w:widowControl w:val="0"/>
              <w:rPr/>
            </w:pPr>
            <w:r w:rsidDel="00000000" w:rsidR="00000000" w:rsidRPr="00000000">
              <w:rPr>
                <w:sz w:val="20"/>
                <w:szCs w:val="20"/>
                <w:rtl w:val="0"/>
              </w:rPr>
              <w:t xml:space="preserve">Student reflection was implicit and dependent on verbal articulation. Many students were unaware of their own strategy use.</w:t>
            </w:r>
            <w:r w:rsidDel="00000000" w:rsidR="00000000" w:rsidRPr="00000000">
              <w:rPr>
                <w:rtl w:val="0"/>
              </w:rPr>
            </w:r>
          </w:p>
        </w:tc>
        <w:tc>
          <w:tcPr>
            <w:gridSpan w:val="9"/>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A1">
            <w:pPr>
              <w:widowControl w:val="0"/>
              <w:rPr/>
            </w:pPr>
            <w:r w:rsidDel="00000000" w:rsidR="00000000" w:rsidRPr="00000000">
              <w:rPr>
                <w:sz w:val="20"/>
                <w:szCs w:val="20"/>
                <w:rtl w:val="0"/>
              </w:rPr>
              <w:t xml:space="preserve">Students can review their own action history, strengthening metacognitive awareness and self-regulation.</w:t>
            </w:r>
            <w:r w:rsidDel="00000000" w:rsidR="00000000" w:rsidRPr="00000000">
              <w:rPr>
                <w:rtl w:val="0"/>
              </w:rPr>
            </w:r>
          </w:p>
        </w:tc>
      </w:tr>
      <w:tr>
        <w:trPr>
          <w:cantSplit w:val="0"/>
          <w:trHeight w:val="600" w:hRule="atLeast"/>
          <w:tblHeader w:val="0"/>
        </w:trPr>
        <w:tc>
          <w:tcPr>
            <w:gridSpan w:val="5"/>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AA">
            <w:pPr>
              <w:widowControl w:val="0"/>
              <w:rPr/>
            </w:pPr>
            <w:r w:rsidDel="00000000" w:rsidR="00000000" w:rsidRPr="00000000">
              <w:rPr>
                <w:sz w:val="20"/>
                <w:szCs w:val="20"/>
                <w:rtl w:val="0"/>
              </w:rPr>
              <w:t xml:space="preserve">Differentiation was based on overall performance trends rather than reasoning patterns.</w:t>
            </w:r>
            <w:r w:rsidDel="00000000" w:rsidR="00000000" w:rsidRPr="00000000">
              <w:rPr>
                <w:rtl w:val="0"/>
              </w:rPr>
            </w:r>
          </w:p>
        </w:tc>
        <w:tc>
          <w:tcPr>
            <w:gridSpan w:val="9"/>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AF">
            <w:pPr>
              <w:widowControl w:val="0"/>
              <w:rPr/>
            </w:pPr>
            <w:r w:rsidDel="00000000" w:rsidR="00000000" w:rsidRPr="00000000">
              <w:rPr>
                <w:sz w:val="20"/>
                <w:szCs w:val="20"/>
                <w:rtl w:val="0"/>
              </w:rPr>
              <w:t xml:space="preserve">Teachers identify inefficient strategies and provide targeted scaffolds based on visible thinking processes</w:t>
            </w:r>
            <w:r w:rsidDel="00000000" w:rsidR="00000000" w:rsidRPr="00000000">
              <w:rPr>
                <w:rtl w:val="0"/>
              </w:rPr>
            </w:r>
          </w:p>
        </w:tc>
      </w:tr>
      <w:tr>
        <w:trPr>
          <w:cantSplit w:val="0"/>
          <w:trHeight w:val="585" w:hRule="atLeast"/>
          <w:tblHeader w:val="0"/>
        </w:trPr>
        <w:tc>
          <w:tcPr>
            <w:gridSpan w:val="5"/>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B8">
            <w:pPr>
              <w:widowControl w:val="0"/>
              <w:rPr/>
            </w:pPr>
            <w:r w:rsidDel="00000000" w:rsidR="00000000" w:rsidRPr="00000000">
              <w:rPr>
                <w:sz w:val="20"/>
                <w:szCs w:val="20"/>
                <w:rtl w:val="0"/>
              </w:rPr>
              <w:t xml:space="preserve">Interactives (where used) functioned primarily as engagement tools.</w:t>
            </w:r>
            <w:r w:rsidDel="00000000" w:rsidR="00000000" w:rsidRPr="00000000">
              <w:rPr>
                <w:rtl w:val="0"/>
              </w:rPr>
            </w:r>
          </w:p>
        </w:tc>
        <w:tc>
          <w:tcPr>
            <w:gridSpan w:val="9"/>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BD">
            <w:pPr>
              <w:widowControl w:val="0"/>
              <w:rPr/>
            </w:pPr>
            <w:r w:rsidDel="00000000" w:rsidR="00000000" w:rsidRPr="00000000">
              <w:rPr>
                <w:sz w:val="20"/>
                <w:szCs w:val="20"/>
                <w:rtl w:val="0"/>
              </w:rPr>
              <w:t xml:space="preserve">Interactives function as metacognitive growth platforms that support reflection, dialogue and formative assessment.</w:t>
            </w:r>
            <w:r w:rsidDel="00000000" w:rsidR="00000000" w:rsidRPr="00000000">
              <w:rPr>
                <w:rtl w:val="0"/>
              </w:rPr>
            </w:r>
          </w:p>
        </w:tc>
      </w:tr>
      <w:tr>
        <w:trPr>
          <w:cantSplit w:val="0"/>
          <w:trHeight w:val="615" w:hRule="atLeast"/>
          <w:tblHeader w:val="0"/>
        </w:trPr>
        <w:tc>
          <w:tcPr>
            <w:gridSpan w:val="5"/>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C6">
            <w:pPr>
              <w:widowControl w:val="0"/>
              <w:rPr/>
            </w:pPr>
            <w:r w:rsidDel="00000000" w:rsidR="00000000" w:rsidRPr="00000000">
              <w:rPr>
                <w:sz w:val="20"/>
                <w:szCs w:val="20"/>
                <w:rtl w:val="0"/>
              </w:rPr>
              <w:t xml:space="preserve">Teacher decision-making relied largely on experience and anecdotal evidence of student participation.</w:t>
            </w:r>
            <w:r w:rsidDel="00000000" w:rsidR="00000000" w:rsidRPr="00000000">
              <w:rPr>
                <w:rtl w:val="0"/>
              </w:rPr>
            </w:r>
          </w:p>
        </w:tc>
        <w:tc>
          <w:tcPr>
            <w:gridSpan w:val="9"/>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CB">
            <w:pPr>
              <w:widowControl w:val="0"/>
              <w:rPr/>
            </w:pPr>
            <w:r w:rsidDel="00000000" w:rsidR="00000000" w:rsidRPr="00000000">
              <w:rPr>
                <w:sz w:val="20"/>
                <w:szCs w:val="20"/>
                <w:rtl w:val="0"/>
              </w:rPr>
              <w:t xml:space="preserve">Teacher decision-making is supported by structured evidence of students’ strategic behaviour, improving instructional precision and responsiveness.</w:t>
            </w:r>
            <w:r w:rsidDel="00000000" w:rsidR="00000000" w:rsidRPr="00000000">
              <w:rPr>
                <w:rtl w:val="0"/>
              </w:rPr>
            </w:r>
          </w:p>
        </w:tc>
      </w:tr>
      <w:tr>
        <w:trPr>
          <w:cantSplit w:val="0"/>
          <w:trHeight w:val="615" w:hRule="atLeast"/>
          <w:tblHeader w:val="0"/>
        </w:trPr>
        <w:tc>
          <w:tcPr>
            <w:gridSpan w:val="5"/>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D4">
            <w:pPr>
              <w:widowControl w:val="0"/>
              <w:rPr>
                <w:sz w:val="20"/>
                <w:szCs w:val="20"/>
              </w:rPr>
            </w:pPr>
            <w:r w:rsidDel="00000000" w:rsidR="00000000" w:rsidRPr="00000000">
              <w:rPr>
                <w:sz w:val="20"/>
                <w:szCs w:val="20"/>
                <w:rtl w:val="0"/>
              </w:rPr>
              <w:t xml:space="preserve">Textbook tasks often emphasised correctness and single-path solutions.</w:t>
            </w:r>
          </w:p>
        </w:tc>
        <w:tc>
          <w:tcPr>
            <w:gridSpan w:val="9"/>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1D9">
            <w:pPr>
              <w:widowControl w:val="0"/>
              <w:rPr>
                <w:sz w:val="20"/>
                <w:szCs w:val="20"/>
              </w:rPr>
            </w:pPr>
            <w:r w:rsidDel="00000000" w:rsidR="00000000" w:rsidRPr="00000000">
              <w:rPr>
                <w:sz w:val="20"/>
                <w:szCs w:val="20"/>
                <w:rtl w:val="0"/>
              </w:rPr>
              <w:t xml:space="preserve">Customisable interactives support multiple pathways and encourage iterative strategy refinement.</w:t>
            </w:r>
          </w:p>
        </w:tc>
      </w:tr>
    </w:tbl>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gridCol w:w="1"/>
        <w:gridCol w:w="1"/>
        <w:gridCol w:w="1"/>
        <w:gridCol w:w="1"/>
        <w:gridCol w:w="1"/>
        <w:gridCol w:w="1"/>
        <w:gridCol w:w="1"/>
        <w:gridCol w:w="1"/>
        <w:gridCol w:w="1"/>
        <w:gridCol w:w="1"/>
        <w:gridCol w:w="1"/>
        <w:gridCol w:w="1"/>
        <w:gridCol w:w="1"/>
        <w:tblGridChange w:id="0">
          <w:tblGrid>
            <w:gridCol w:w="9360"/>
            <w:gridCol w:w="1"/>
            <w:gridCol w:w="1"/>
            <w:gridCol w:w="1"/>
            <w:gridCol w:w="1"/>
            <w:gridCol w:w="1"/>
            <w:gridCol w:w="1"/>
            <w:gridCol w:w="1"/>
            <w:gridCol w:w="1"/>
            <w:gridCol w:w="1"/>
            <w:gridCol w:w="1"/>
            <w:gridCol w:w="1"/>
            <w:gridCol w:w="1"/>
            <w:gridCol w:w="1"/>
          </w:tblGrid>
        </w:tblGridChange>
      </w:tblGrid>
      <w:tr>
        <w:trPr>
          <w:cantSplit w:val="0"/>
          <w:trHeight w:val="360" w:hRule="atLeast"/>
          <w:tblHeader w:val="0"/>
        </w:trPr>
        <w:tc>
          <w:tcPr>
            <w:gridSpan w:val="14"/>
            <w:tcBorders>
              <w:top w:color="000000" w:space="0" w:sz="9" w:val="single"/>
              <w:left w:color="000000" w:space="0" w:sz="9" w:val="single"/>
              <w:bottom w:color="000000" w:space="0" w:sz="9" w:val="single"/>
              <w:right w:color="000000" w:space="0" w:sz="9" w:val="single"/>
            </w:tcBorders>
            <w:shd w:fill="d8d8d8" w:val="clear"/>
            <w:tcMar>
              <w:top w:w="0.0" w:type="dxa"/>
              <w:left w:w="40.0" w:type="dxa"/>
              <w:bottom w:w="0.0" w:type="dxa"/>
              <w:right w:w="40.0" w:type="dxa"/>
            </w:tcMar>
            <w:vAlign w:val="center"/>
          </w:tcPr>
          <w:p w:rsidR="00000000" w:rsidDel="00000000" w:rsidP="00000000" w:rsidRDefault="00000000" w:rsidRPr="00000000" w14:paraId="000001E5">
            <w:pPr>
              <w:widowControl w:val="0"/>
              <w:rPr/>
            </w:pPr>
            <w:r w:rsidDel="00000000" w:rsidR="00000000" w:rsidRPr="00000000">
              <w:rPr>
                <w:b w:val="1"/>
                <w:bCs w:val="1"/>
                <w:sz w:val="20"/>
                <w:szCs w:val="20"/>
                <w:rtl w:val="0"/>
              </w:rPr>
              <w:t xml:space="preserve">Criterion 4: Sustainability of solution [20%] (max 300 words)</w:t>
            </w:r>
            <w:r w:rsidDel="00000000" w:rsidR="00000000" w:rsidRPr="00000000">
              <w:rPr>
                <w:rtl w:val="0"/>
              </w:rPr>
            </w:r>
          </w:p>
        </w:tc>
      </w:tr>
      <w:tr>
        <w:trPr>
          <w:cantSplit w:val="0"/>
          <w:trHeight w:val="630"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1F3">
            <w:pPr>
              <w:widowControl w:val="0"/>
              <w:rPr>
                <w:sz w:val="20"/>
                <w:szCs w:val="20"/>
              </w:rPr>
            </w:pPr>
            <w:r w:rsidDel="00000000" w:rsidR="00000000" w:rsidRPr="00000000">
              <w:rPr>
                <w:sz w:val="20"/>
                <w:szCs w:val="20"/>
                <w:rtl w:val="0"/>
              </w:rPr>
              <w:t xml:space="preserve">a) Share how the solution would be sustained beyond its implementation phase and the longer-term plans for the project.</w:t>
            </w:r>
          </w:p>
          <w:p w:rsidR="00000000" w:rsidDel="00000000" w:rsidP="00000000" w:rsidRDefault="00000000" w:rsidRPr="00000000" w14:paraId="000001F4">
            <w:pPr>
              <w:widowControl w:val="0"/>
              <w:rPr/>
            </w:pPr>
            <w:r w:rsidDel="00000000" w:rsidR="00000000" w:rsidRPr="00000000">
              <w:rPr>
                <w:sz w:val="20"/>
                <w:szCs w:val="20"/>
                <w:rtl w:val="0"/>
              </w:rPr>
              <w:t xml:space="preserve">b) Describe how other schools/HQ Divisions could adopt the solution developed.</w:t>
            </w:r>
            <w:r w:rsidDel="00000000" w:rsidR="00000000" w:rsidRPr="00000000">
              <w:rPr>
                <w:rtl w:val="0"/>
              </w:rPr>
            </w:r>
          </w:p>
        </w:tc>
      </w:tr>
      <w:tr>
        <w:trPr>
          <w:cantSplit w:val="0"/>
          <w:trHeight w:val="4785" w:hRule="atLeast"/>
          <w:tblHeader w:val="0"/>
        </w:trPr>
        <w:tc>
          <w:tcPr>
            <w:gridSpan w:val="14"/>
            <w:vMerge w:val="restart"/>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202">
            <w:pPr>
              <w:widowControl w:val="0"/>
              <w:rPr>
                <w:sz w:val="20"/>
                <w:szCs w:val="20"/>
              </w:rPr>
            </w:pPr>
            <w:r w:rsidDel="00000000" w:rsidR="00000000" w:rsidRPr="00000000">
              <w:rPr>
                <w:sz w:val="20"/>
                <w:szCs w:val="20"/>
                <w:rtl w:val="0"/>
              </w:rPr>
              <w:t xml:space="preserve">a)</w:t>
            </w:r>
          </w:p>
          <w:p w:rsidR="00000000" w:rsidDel="00000000" w:rsidP="00000000" w:rsidRDefault="00000000" w:rsidRPr="00000000" w14:paraId="00000203">
            <w:pPr>
              <w:widowControl w:val="0"/>
              <w:spacing w:after="240" w:before="240" w:lineRule="auto"/>
              <w:rPr>
                <w:sz w:val="20"/>
                <w:szCs w:val="20"/>
              </w:rPr>
            </w:pPr>
            <w:r w:rsidDel="00000000" w:rsidR="00000000" w:rsidRPr="00000000">
              <w:rPr>
                <w:sz w:val="20"/>
                <w:szCs w:val="20"/>
                <w:rtl w:val="0"/>
              </w:rPr>
              <w:t xml:space="preserve">The sustainability of this project lies in embedding metacognitive visibility into everyday classroom practice rather than treating it as a one-off innovation.</w:t>
            </w:r>
          </w:p>
          <w:p w:rsidR="00000000" w:rsidDel="00000000" w:rsidP="00000000" w:rsidRDefault="00000000" w:rsidRPr="00000000" w14:paraId="00000204">
            <w:pPr>
              <w:widowControl w:val="0"/>
              <w:spacing w:after="240" w:before="240" w:lineRule="auto"/>
              <w:rPr>
                <w:sz w:val="20"/>
                <w:szCs w:val="20"/>
              </w:rPr>
            </w:pPr>
            <w:r w:rsidDel="00000000" w:rsidR="00000000" w:rsidRPr="00000000">
              <w:rPr>
                <w:sz w:val="20"/>
                <w:szCs w:val="20"/>
                <w:rtl w:val="0"/>
              </w:rPr>
              <w:t xml:space="preserve">All interactives are integrated within the national Student Learning Space (SLS) and </w:t>
            </w:r>
            <w:hyperlink r:id="rId7">
              <w:r w:rsidDel="00000000" w:rsidR="00000000" w:rsidRPr="00000000">
                <w:rPr>
                  <w:color w:val="1155cc"/>
                  <w:sz w:val="20"/>
                  <w:szCs w:val="20"/>
                  <w:u w:val="single"/>
                  <w:rtl w:val="0"/>
                </w:rPr>
                <w:t xml:space="preserve">https://sg.iwant2study.org/ospsg/index.php/326-sstrf2025</w:t>
              </w:r>
            </w:hyperlink>
            <w:r w:rsidDel="00000000" w:rsidR="00000000" w:rsidRPr="00000000">
              <w:rPr>
                <w:sz w:val="20"/>
                <w:szCs w:val="20"/>
                <w:rtl w:val="0"/>
              </w:rPr>
              <w:t xml:space="preserve"> . This ensures long-term accessibility, version control and iterative refinement within existing national infrastructure.</w:t>
            </w:r>
          </w:p>
          <w:p w:rsidR="00000000" w:rsidDel="00000000" w:rsidP="00000000" w:rsidRDefault="00000000" w:rsidRPr="00000000" w14:paraId="00000205">
            <w:pPr>
              <w:widowControl w:val="0"/>
              <w:spacing w:after="240" w:before="240" w:lineRule="auto"/>
              <w:rPr>
                <w:sz w:val="20"/>
                <w:szCs w:val="20"/>
              </w:rPr>
            </w:pPr>
            <w:r w:rsidDel="00000000" w:rsidR="00000000" w:rsidRPr="00000000">
              <w:rPr>
                <w:sz w:val="20"/>
                <w:szCs w:val="20"/>
                <w:rtl w:val="0"/>
              </w:rPr>
              <w:t xml:space="preserve">More importantly, sustainability is pedagogical. Teachers are equipped not only to use the interactives, but to facilitate strategy-focused discussions grounded in visible evidence of student thinking. Professional sharing sessions to build collective capability in analysing student action logs, identifying strategy patterns and designing reflection prompts. As teachers internalise these practices, the visibility of metacognition becomes embedded in routine instruction.</w:t>
            </w:r>
          </w:p>
          <w:p w:rsidR="00000000" w:rsidDel="00000000" w:rsidP="00000000" w:rsidRDefault="00000000" w:rsidRPr="00000000" w14:paraId="00000206">
            <w:pPr>
              <w:widowControl w:val="0"/>
              <w:spacing w:after="240" w:before="240" w:lineRule="auto"/>
              <w:rPr>
                <w:sz w:val="20"/>
                <w:szCs w:val="20"/>
              </w:rPr>
            </w:pPr>
            <w:r w:rsidDel="00000000" w:rsidR="00000000" w:rsidRPr="00000000">
              <w:rPr>
                <w:sz w:val="20"/>
                <w:szCs w:val="20"/>
                <w:rtl w:val="0"/>
              </w:rPr>
              <w:t xml:space="preserve">The open design of the interactives allows ongoing adaptation across topics and levels without vendor dependence. xAPI tracking remains interoperable within SLS, ensuring that evidence of student thinking continues to inform lesson refinement over time.</w:t>
            </w:r>
          </w:p>
          <w:p w:rsidR="00000000" w:rsidDel="00000000" w:rsidP="00000000" w:rsidRDefault="00000000" w:rsidRPr="00000000" w14:paraId="00000207">
            <w:pPr>
              <w:widowControl w:val="0"/>
              <w:spacing w:after="240" w:before="240" w:lineRule="auto"/>
              <w:rPr>
                <w:sz w:val="20"/>
                <w:szCs w:val="20"/>
              </w:rPr>
            </w:pPr>
            <w:r w:rsidDel="00000000" w:rsidR="00000000" w:rsidRPr="00000000">
              <w:rPr>
                <w:sz w:val="20"/>
                <w:szCs w:val="20"/>
                <w:rtl w:val="0"/>
              </w:rPr>
              <w:t xml:space="preserve">In the longer term, the project establishes a replicable model for making 21CC processes observable and discussable through digital infrastructure, supporting national priorities in metacognitive growth.</w:t>
            </w:r>
          </w:p>
          <w:p w:rsidR="00000000" w:rsidDel="00000000" w:rsidP="00000000" w:rsidRDefault="00000000" w:rsidRPr="00000000" w14:paraId="00000208">
            <w:pPr>
              <w:widowControl w:val="0"/>
              <w:rPr>
                <w:sz w:val="20"/>
                <w:szCs w:val="20"/>
              </w:rPr>
            </w:pPr>
            <w:r w:rsidDel="00000000" w:rsidR="00000000" w:rsidRPr="00000000">
              <w:rPr>
                <w:sz w:val="20"/>
                <w:szCs w:val="20"/>
                <w:rtl w:val="0"/>
              </w:rPr>
              <w:t xml:space="preserve">b)</w:t>
            </w:r>
          </w:p>
          <w:p w:rsidR="00000000" w:rsidDel="00000000" w:rsidP="00000000" w:rsidRDefault="00000000" w:rsidRPr="00000000" w14:paraId="00000209">
            <w:pPr>
              <w:widowControl w:val="0"/>
              <w:spacing w:after="240" w:before="240" w:lineRule="auto"/>
              <w:rPr>
                <w:sz w:val="20"/>
                <w:szCs w:val="20"/>
              </w:rPr>
            </w:pPr>
            <w:r w:rsidDel="00000000" w:rsidR="00000000" w:rsidRPr="00000000">
              <w:rPr>
                <w:sz w:val="20"/>
                <w:szCs w:val="20"/>
                <w:rtl w:val="0"/>
              </w:rPr>
              <w:t xml:space="preserve">Adoption is enabled through ready-to-use 7 </w:t>
            </w:r>
            <w:hyperlink r:id="rId8">
              <w:r w:rsidDel="00000000" w:rsidR="00000000" w:rsidRPr="00000000">
                <w:rPr>
                  <w:color w:val="1155cc"/>
                  <w:sz w:val="20"/>
                  <w:szCs w:val="20"/>
                  <w:u w:val="single"/>
                  <w:rtl w:val="0"/>
                </w:rPr>
                <w:t xml:space="preserve">https://vle.learning.moe.edu.sg/search?keyword=sstrf&amp;location=MOE&amp;resource=LESSON&amp;subject=&amp;level=</w:t>
              </w:r>
            </w:hyperlink>
            <w:r w:rsidDel="00000000" w:rsidR="00000000" w:rsidRPr="00000000">
              <w:rPr>
                <w:sz w:val="20"/>
                <w:szCs w:val="20"/>
                <w:rtl w:val="0"/>
              </w:rPr>
              <w:t xml:space="preserve"> SLS packages, reusable interactive templates and structured guidance on embedding metacognitive prompts.</w:t>
            </w:r>
          </w:p>
          <w:p w:rsidR="00000000" w:rsidDel="00000000" w:rsidP="00000000" w:rsidRDefault="00000000" w:rsidRPr="00000000" w14:paraId="0000020A">
            <w:pPr>
              <w:widowControl w:val="0"/>
              <w:spacing w:after="240" w:before="240" w:lineRule="auto"/>
              <w:rPr>
                <w:sz w:val="20"/>
                <w:szCs w:val="20"/>
              </w:rPr>
            </w:pPr>
            <w:r w:rsidDel="00000000" w:rsidR="00000000" w:rsidRPr="00000000">
              <w:rPr>
                <w:sz w:val="20"/>
                <w:szCs w:val="20"/>
                <w:rtl w:val="0"/>
              </w:rPr>
              <w:t xml:space="preserve">Schools can deploy the interactives directly within SLS and use the built-in tracking to surface students’ strategy patterns without additional technical setup. </w:t>
            </w:r>
          </w:p>
          <w:p w:rsidR="00000000" w:rsidDel="00000000" w:rsidP="00000000" w:rsidRDefault="00000000" w:rsidRPr="00000000" w14:paraId="0000020B">
            <w:pPr>
              <w:widowControl w:val="0"/>
              <w:spacing w:after="240" w:before="240" w:lineRule="auto"/>
              <w:rPr>
                <w:sz w:val="20"/>
                <w:szCs w:val="20"/>
              </w:rPr>
            </w:pPr>
            <w:r w:rsidDel="00000000" w:rsidR="00000000" w:rsidRPr="00000000">
              <w:rPr>
                <w:sz w:val="20"/>
                <w:szCs w:val="20"/>
                <w:rtl w:val="0"/>
              </w:rPr>
              <w:t xml:space="preserve">HQ can extend the model to other subjects by applying the same principle: designing digital tasks that capture learning actions and make thinking visible. The supporting xAPI integration tool </w:t>
            </w:r>
            <w:hyperlink r:id="rId9">
              <w:r w:rsidDel="00000000" w:rsidR="00000000" w:rsidRPr="00000000">
                <w:rPr>
                  <w:color w:val="1155cc"/>
                  <w:sz w:val="20"/>
                  <w:szCs w:val="20"/>
                  <w:u w:val="single"/>
                  <w:rtl w:val="0"/>
                </w:rPr>
                <w:t xml:space="preserve">https://iwant2study.org/lookangejss/appXapiIntegratorAgent/</w:t>
              </w:r>
            </w:hyperlink>
            <w:r w:rsidDel="00000000" w:rsidR="00000000" w:rsidRPr="00000000">
              <w:rPr>
                <w:sz w:val="20"/>
                <w:szCs w:val="20"/>
                <w:rtl w:val="0"/>
              </w:rPr>
              <w:t xml:space="preserve"> we developed allows AI generated interactives to become “plug-and-play” within SLS, lowering technical barriers while preserving pedagogical intent.</w:t>
            </w:r>
          </w:p>
          <w:p w:rsidR="00000000" w:rsidDel="00000000" w:rsidP="00000000" w:rsidRDefault="00000000" w:rsidRPr="00000000" w14:paraId="0000020C">
            <w:pPr>
              <w:widowControl w:val="0"/>
              <w:spacing w:after="240" w:before="240" w:lineRule="auto"/>
              <w:rPr>
                <w:sz w:val="20"/>
                <w:szCs w:val="20"/>
              </w:rPr>
            </w:pPr>
            <w:r w:rsidDel="00000000" w:rsidR="00000000" w:rsidRPr="00000000">
              <w:rPr>
                <w:sz w:val="20"/>
                <w:szCs w:val="20"/>
                <w:rtl w:val="0"/>
              </w:rPr>
              <w:t xml:space="preserve">By combining national infrastructure, open source design, the solution is positioned for sustainable scaling across disciplines.</w:t>
            </w:r>
          </w:p>
          <w:p w:rsidR="00000000" w:rsidDel="00000000" w:rsidP="00000000" w:rsidRDefault="00000000" w:rsidRPr="00000000" w14:paraId="0000020D">
            <w:pPr>
              <w:widowControl w:val="0"/>
              <w:spacing w:after="240" w:before="240" w:lineRule="auto"/>
              <w:rPr>
                <w:sz w:val="20"/>
                <w:szCs w:val="20"/>
              </w:rPr>
            </w:pPr>
            <w:r w:rsidDel="00000000" w:rsidR="00000000" w:rsidRPr="00000000">
              <w:rPr>
                <w:sz w:val="20"/>
                <w:szCs w:val="20"/>
                <w:rtl w:val="0"/>
              </w:rPr>
              <w:t xml:space="preserve">300 words</w:t>
            </w:r>
          </w:p>
          <w:p w:rsidR="00000000" w:rsidDel="00000000" w:rsidP="00000000" w:rsidRDefault="00000000" w:rsidRPr="00000000" w14:paraId="0000020E">
            <w:pPr>
              <w:widowControl w:val="0"/>
              <w:rPr>
                <w:sz w:val="20"/>
                <w:szCs w:val="2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rPr/>
            </w:pPr>
            <w:r w:rsidDel="00000000" w:rsidR="00000000" w:rsidRPr="00000000">
              <w:rPr>
                <w:rtl w:val="0"/>
              </w:rPr>
            </w:r>
          </w:p>
        </w:tc>
      </w:tr>
      <w:tr>
        <w:trPr>
          <w:cantSplit w:val="0"/>
          <w:trHeight w:val="375"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center"/>
          </w:tcPr>
          <w:p w:rsidR="00000000" w:rsidDel="00000000" w:rsidP="00000000" w:rsidRDefault="00000000" w:rsidRPr="00000000" w14:paraId="00000238">
            <w:pPr>
              <w:widowControl w:val="0"/>
              <w:rPr/>
            </w:pPr>
            <w:r w:rsidDel="00000000" w:rsidR="00000000" w:rsidRPr="00000000">
              <w:rPr>
                <w:sz w:val="20"/>
                <w:szCs w:val="20"/>
                <w:rtl w:val="0"/>
              </w:rPr>
              <w:t xml:space="preserve">4.1 Where applicable, describe the feasibility of scaling your innovation to other schools/ institutions/ HQ Divisions. (max 200 words)</w:t>
            </w:r>
            <w:r w:rsidDel="00000000" w:rsidR="00000000" w:rsidRPr="00000000">
              <w:rPr>
                <w:rtl w:val="0"/>
              </w:rPr>
            </w:r>
          </w:p>
        </w:tc>
      </w:tr>
      <w:tr>
        <w:trPr>
          <w:cantSplit w:val="0"/>
          <w:trHeight w:val="2910" w:hRule="atLeast"/>
          <w:tblHeader w:val="0"/>
        </w:trPr>
        <w:tc>
          <w:tcPr>
            <w:gridSpan w:val="14"/>
            <w:vMerge w:val="restart"/>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246">
            <w:pPr>
              <w:widowControl w:val="0"/>
              <w:spacing w:after="240" w:before="240" w:lineRule="auto"/>
              <w:rPr>
                <w:sz w:val="20"/>
                <w:szCs w:val="20"/>
              </w:rPr>
            </w:pPr>
            <w:r w:rsidDel="00000000" w:rsidR="00000000" w:rsidRPr="00000000">
              <w:rPr>
                <w:sz w:val="20"/>
                <w:szCs w:val="20"/>
                <w:rtl w:val="0"/>
              </w:rPr>
              <w:t xml:space="preserve">The innovation is highly scalable because it is embedded within the national Student Learning Space (SLS) infrastructure and aligned to curriculum-based tasks. Schools can adopt the approach immediately using existing SLS workflows and MOE Library resources without additional platforms or specialised hardware.</w:t>
            </w:r>
          </w:p>
          <w:p w:rsidR="00000000" w:rsidDel="00000000" w:rsidP="00000000" w:rsidRDefault="00000000" w:rsidRPr="00000000" w14:paraId="00000247">
            <w:pPr>
              <w:widowControl w:val="0"/>
              <w:spacing w:after="240" w:before="240" w:lineRule="auto"/>
              <w:rPr>
                <w:sz w:val="20"/>
                <w:szCs w:val="20"/>
              </w:rPr>
            </w:pPr>
            <w:r w:rsidDel="00000000" w:rsidR="00000000" w:rsidRPr="00000000">
              <w:rPr>
                <w:sz w:val="20"/>
                <w:szCs w:val="20"/>
                <w:rtl w:val="0"/>
              </w:rPr>
              <w:t xml:space="preserve">The core model — designing digital tasks that make students’ metacognitive processes visible — is subject-agnostic. While first implemented in Primary Mathematics, the same principle can be extended to Science investigations, language composition planning, or humanities inquiry tasks where planning, monitoring and strategy shifts are critical.</w:t>
            </w:r>
          </w:p>
          <w:p w:rsidR="00000000" w:rsidDel="00000000" w:rsidP="00000000" w:rsidRDefault="00000000" w:rsidRPr="00000000" w14:paraId="00000248">
            <w:pPr>
              <w:widowControl w:val="0"/>
              <w:spacing w:after="240" w:before="240" w:lineRule="auto"/>
              <w:rPr>
                <w:sz w:val="20"/>
                <w:szCs w:val="20"/>
              </w:rPr>
            </w:pPr>
            <w:r w:rsidDel="00000000" w:rsidR="00000000" w:rsidRPr="00000000">
              <w:rPr>
                <w:sz w:val="20"/>
                <w:szCs w:val="20"/>
                <w:rtl w:val="0"/>
              </w:rPr>
              <w:t xml:space="preserve">Scaling is strengthened through collaboration with HQ divisions focused on learning analytics and assessment. The structured visibility of student thinking supports 21CC development, formative assessment and evidence-based feedback across disciplines.</w:t>
            </w:r>
          </w:p>
          <w:p w:rsidR="00000000" w:rsidDel="00000000" w:rsidP="00000000" w:rsidRDefault="00000000" w:rsidRPr="00000000" w14:paraId="00000249">
            <w:pPr>
              <w:widowControl w:val="0"/>
              <w:spacing w:after="240" w:before="240" w:lineRule="auto"/>
              <w:rPr>
                <w:sz w:val="20"/>
                <w:szCs w:val="20"/>
              </w:rPr>
            </w:pPr>
            <w:r w:rsidDel="00000000" w:rsidR="00000000" w:rsidRPr="00000000">
              <w:rPr>
                <w:sz w:val="20"/>
                <w:szCs w:val="20"/>
                <w:rtl w:val="0"/>
              </w:rPr>
              <w:t xml:space="preserve">Adoption is supported through ready-to-use SLS packages, reusable templates and professional learning workshops. As more schools implement the approach, shared practices and exemplars reduce onboarding time and increase instructional consistency.</w:t>
            </w:r>
          </w:p>
          <w:p w:rsidR="00000000" w:rsidDel="00000000" w:rsidP="00000000" w:rsidRDefault="00000000" w:rsidRPr="00000000" w14:paraId="0000024A">
            <w:pPr>
              <w:widowControl w:val="0"/>
              <w:spacing w:after="240" w:before="240" w:lineRule="auto"/>
              <w:rPr>
                <w:sz w:val="20"/>
                <w:szCs w:val="20"/>
              </w:rPr>
            </w:pPr>
            <w:r w:rsidDel="00000000" w:rsidR="00000000" w:rsidRPr="00000000">
              <w:rPr>
                <w:sz w:val="20"/>
                <w:szCs w:val="20"/>
                <w:rtl w:val="0"/>
              </w:rPr>
              <w:t xml:space="preserve">With national infrastructure already in place, expansion across primary schools in 2026 and into secondary subjects thereafter is both technically feasible and pedagogically transferable.</w:t>
            </w:r>
          </w:p>
          <w:p w:rsidR="00000000" w:rsidDel="00000000" w:rsidP="00000000" w:rsidRDefault="00000000" w:rsidRPr="00000000" w14:paraId="0000024B">
            <w:pPr>
              <w:widowControl w:val="0"/>
              <w:spacing w:after="240" w:before="240" w:lineRule="auto"/>
              <w:rPr>
                <w:sz w:val="20"/>
                <w:szCs w:val="20"/>
              </w:rPr>
            </w:pPr>
            <w:r w:rsidDel="00000000" w:rsidR="00000000" w:rsidRPr="00000000">
              <w:rPr>
                <w:sz w:val="20"/>
                <w:szCs w:val="20"/>
                <w:rtl w:val="0"/>
              </w:rPr>
              <w:t xml:space="preserve">170 words</w:t>
            </w:r>
          </w:p>
          <w:p w:rsidR="00000000" w:rsidDel="00000000" w:rsidP="00000000" w:rsidRDefault="00000000" w:rsidRPr="00000000" w14:paraId="0000024C">
            <w:pPr>
              <w:widowControl w:val="0"/>
              <w:rPr>
                <w:sz w:val="20"/>
                <w:szCs w:val="20"/>
              </w:rPr>
            </w:pPr>
            <w:r w:rsidDel="00000000" w:rsidR="00000000" w:rsidRPr="00000000">
              <w:rPr>
                <w:rtl w:val="0"/>
              </w:rPr>
            </w:r>
          </w:p>
        </w:tc>
      </w:tr>
      <w:tr>
        <w:trPr>
          <w:cantSplit w:val="0"/>
          <w:tblHeader w:val="0"/>
        </w:trPr>
        <w:tc>
          <w:tcPr>
            <w:gridSpan w:val="14"/>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rPr/>
            </w:pPr>
            <w:r w:rsidDel="00000000" w:rsidR="00000000" w:rsidRPr="00000000">
              <w:rPr>
                <w:rtl w:val="0"/>
              </w:rPr>
            </w:r>
          </w:p>
        </w:tc>
      </w:tr>
    </w:tbl>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r>
    </w:p>
    <w:tbl>
      <w:tblPr>
        <w:tblStyle w:val="Table8"/>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4.1981468282254"/>
        <w:gridCol w:w="820.584461867427"/>
        <w:gridCol w:w="907.3129009265859"/>
        <w:gridCol w:w="1514.4119743406986"/>
        <w:gridCol w:w="527.0420527441197"/>
        <w:gridCol w:w="466.9992872416251"/>
        <w:gridCol w:w="466.9992872416251"/>
        <w:gridCol w:w="466.9992872416251"/>
        <w:gridCol w:w="466.9992872416251"/>
        <w:gridCol w:w="466.9992872416251"/>
        <w:gridCol w:w="553.7277263007841"/>
        <w:gridCol w:w="553.7277263007841"/>
        <w:gridCol w:w="466.9992872416251"/>
        <w:gridCol w:w="466.9992872416251"/>
        <w:tblGridChange w:id="0">
          <w:tblGrid>
            <w:gridCol w:w="1214.1981468282254"/>
            <w:gridCol w:w="820.584461867427"/>
            <w:gridCol w:w="907.3129009265859"/>
            <w:gridCol w:w="1514.4119743406986"/>
            <w:gridCol w:w="527.0420527441197"/>
            <w:gridCol w:w="466.9992872416251"/>
            <w:gridCol w:w="466.9992872416251"/>
            <w:gridCol w:w="466.9992872416251"/>
            <w:gridCol w:w="466.9992872416251"/>
            <w:gridCol w:w="466.9992872416251"/>
            <w:gridCol w:w="553.7277263007841"/>
            <w:gridCol w:w="553.7277263007841"/>
            <w:gridCol w:w="466.9992872416251"/>
            <w:gridCol w:w="466.9992872416251"/>
          </w:tblGrid>
        </w:tblGridChange>
      </w:tblGrid>
      <w:tr>
        <w:trPr>
          <w:cantSplit w:val="0"/>
          <w:trHeight w:val="420" w:hRule="atLeast"/>
          <w:tblHeader w:val="0"/>
        </w:trPr>
        <w:tc>
          <w:tcPr>
            <w:tcBorders>
              <w:top w:color="000000" w:space="0" w:sz="0" w:val="nil"/>
              <w:left w:color="000000" w:space="0" w:sz="0" w:val="nil"/>
              <w:bottom w:color="000000" w:space="0" w:sz="9" w:val="single"/>
              <w:right w:color="000000" w:space="0" w:sz="4" w:val="single"/>
            </w:tcBorders>
            <w:tcMar>
              <w:top w:w="0.0" w:type="dxa"/>
              <w:left w:w="0.0" w:type="dxa"/>
              <w:bottom w:w="0.0" w:type="dxa"/>
              <w:right w:w="0.0" w:type="dxa"/>
            </w:tcMar>
            <w:vAlign w:val="top"/>
          </w:tcPr>
          <w:p w:rsidR="00000000" w:rsidDel="00000000" w:rsidP="00000000" w:rsidRDefault="00000000" w:rsidRPr="00000000" w14:paraId="0000026B">
            <w:pPr>
              <w:widowControl w:val="0"/>
              <w:rPr>
                <w:b w:val="1"/>
                <w:bCs w:val="1"/>
                <w:sz w:val="20"/>
                <w:szCs w:val="20"/>
                <w:u w:val="single"/>
              </w:rPr>
            </w:pPr>
            <w:r w:rsidDel="00000000" w:rsidR="00000000" w:rsidRPr="00000000">
              <w:rPr>
                <w:b w:val="1"/>
                <w:bCs w:val="1"/>
                <w:sz w:val="20"/>
                <w:szCs w:val="20"/>
                <w:u w:val="single"/>
                <w:rtl w:val="0"/>
              </w:rPr>
              <w:t xml:space="preserve">Additional Information of Project</w:t>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6C">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6D">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6E">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6F">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0">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1">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2">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3">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4">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5">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6">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7">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78">
            <w:pPr>
              <w:widowControl w:val="0"/>
              <w:rPr/>
            </w:pPr>
            <w:r w:rsidDel="00000000" w:rsidR="00000000" w:rsidRPr="00000000">
              <w:rPr>
                <w:rtl w:val="0"/>
              </w:rPr>
            </w:r>
          </w:p>
        </w:tc>
      </w:tr>
      <w:tr>
        <w:trPr>
          <w:cantSplit w:val="0"/>
          <w:trHeight w:val="540" w:hRule="atLeast"/>
          <w:tblHeader w:val="0"/>
        </w:trPr>
        <w:tc>
          <w:tcPr>
            <w:gridSpan w:val="2"/>
            <w:vMerge w:val="restart"/>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279">
            <w:pPr>
              <w:widowControl w:val="0"/>
              <w:rPr>
                <w:sz w:val="20"/>
                <w:szCs w:val="20"/>
              </w:rPr>
            </w:pPr>
            <w:r w:rsidDel="00000000" w:rsidR="00000000" w:rsidRPr="00000000">
              <w:rPr>
                <w:sz w:val="20"/>
                <w:szCs w:val="20"/>
                <w:rtl w:val="0"/>
              </w:rPr>
              <w:t xml:space="preserve">Estimated costs of implementing the solution (SGD), if any:</w:t>
            </w:r>
          </w:p>
        </w:tc>
        <w:tc>
          <w:tcPr>
            <w:gridSpan w:val="12"/>
            <w:vMerge w:val="restart"/>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27B">
            <w:pPr>
              <w:widowControl w:val="0"/>
              <w:rPr>
                <w:color w:val="ff00ff"/>
                <w:sz w:val="20"/>
                <w:szCs w:val="20"/>
              </w:rPr>
            </w:pPr>
            <w:r w:rsidDel="00000000" w:rsidR="00000000" w:rsidRPr="00000000">
              <w:rPr>
                <w:sz w:val="20"/>
                <w:szCs w:val="20"/>
                <w:rtl w:val="0"/>
              </w:rPr>
              <w:t xml:space="preserve">manpower for developer from Poly </w:t>
            </w:r>
            <w:r w:rsidDel="00000000" w:rsidR="00000000" w:rsidRPr="00000000">
              <w:rPr>
                <w:color w:val="ff00ff"/>
                <w:sz w:val="20"/>
                <w:szCs w:val="20"/>
                <w:rtl w:val="0"/>
              </w:rPr>
              <w:t xml:space="preserve">= $15,000</w:t>
            </w:r>
          </w:p>
        </w:tc>
      </w:tr>
      <w:tr>
        <w:trPr>
          <w:cantSplit w:val="0"/>
          <w:tblHeader w:val="0"/>
        </w:trPr>
        <w:tc>
          <w:tcPr>
            <w:gridSpan w:val="2"/>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rPr/>
            </w:pPr>
            <w:r w:rsidDel="00000000" w:rsidR="00000000" w:rsidRPr="00000000">
              <w:rPr>
                <w:rtl w:val="0"/>
              </w:rPr>
            </w:r>
          </w:p>
        </w:tc>
        <w:tc>
          <w:tcPr>
            <w:gridSpan w:val="12"/>
            <w:vMerge w:val="continue"/>
            <w:tcBorders>
              <w:top w:color="000000" w:space="0" w:sz="0" w:val="nil"/>
              <w:left w:color="000000" w:space="0" w:sz="0" w:val="nil"/>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rPr/>
            </w:pPr>
            <w:r w:rsidDel="00000000" w:rsidR="00000000" w:rsidRPr="00000000">
              <w:rPr>
                <w:rtl w:val="0"/>
              </w:rPr>
            </w:r>
          </w:p>
        </w:tc>
      </w:tr>
      <w:tr>
        <w:trPr>
          <w:cantSplit w:val="0"/>
          <w:trHeight w:val="1320" w:hRule="atLeast"/>
          <w:tblHeader w:val="0"/>
        </w:trPr>
        <w:tc>
          <w:tcPr>
            <w:gridSpan w:val="2"/>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295">
            <w:pPr>
              <w:widowControl w:val="0"/>
              <w:rPr/>
            </w:pPr>
            <w:r w:rsidDel="00000000" w:rsidR="00000000" w:rsidRPr="00000000">
              <w:rPr>
                <w:sz w:val="20"/>
                <w:szCs w:val="20"/>
                <w:rtl w:val="0"/>
              </w:rPr>
              <w:t xml:space="preserve">Items procured for this solution:</w:t>
            </w:r>
            <w:r w:rsidDel="00000000" w:rsidR="00000000" w:rsidRPr="00000000">
              <w:rPr>
                <w:rtl w:val="0"/>
              </w:rPr>
            </w:r>
          </w:p>
        </w:tc>
        <w:tc>
          <w:tcPr>
            <w:gridSpan w:val="12"/>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297">
            <w:pPr>
              <w:widowControl w:val="0"/>
              <w:rPr>
                <w:sz w:val="20"/>
                <w:szCs w:val="20"/>
                <w:u w:val="single"/>
              </w:rPr>
            </w:pPr>
            <w:r w:rsidDel="00000000" w:rsidR="00000000" w:rsidRPr="00000000">
              <w:fldChar w:fldCharType="begin"/>
              <w:instrText xml:space="preserve"> HYPERLINK "https://www.um.es/fem/wikis/runwebejs/" </w:instrText>
              <w:fldChar w:fldCharType="separate"/>
            </w:r>
            <w:r w:rsidDel="00000000" w:rsidR="00000000" w:rsidRPr="00000000">
              <w:rPr>
                <w:sz w:val="20"/>
                <w:szCs w:val="20"/>
                <w:u w:val="single"/>
                <w:rtl w:val="0"/>
              </w:rPr>
              <w:t xml:space="preserve">No physical items or software were purchased using SSTRF funds. The project leveraged existing MOE infrastructure and resources. Server hosting and maintenance were supported through existing MOE funding allocations, while AI API keys and cloud services were accessed using centrally supported funds for prototyping and refinement of the tools.</w:t>
            </w:r>
          </w:p>
          <w:p w:rsidR="00000000" w:rsidDel="00000000" w:rsidP="00000000" w:rsidRDefault="00000000" w:rsidRPr="00000000" w14:paraId="00000298">
            <w:pPr>
              <w:widowControl w:val="0"/>
              <w:rPr>
                <w:sz w:val="20"/>
                <w:szCs w:val="20"/>
                <w:u w:val="single"/>
              </w:rPr>
            </w:pPr>
            <w:r w:rsidDel="00000000" w:rsidR="00000000" w:rsidRPr="00000000">
              <w:rPr>
                <w:rtl w:val="0"/>
              </w:rPr>
            </w:r>
          </w:p>
          <w:p w:rsidR="00000000" w:rsidDel="00000000" w:rsidP="00000000" w:rsidRDefault="00000000" w:rsidRPr="00000000" w14:paraId="00000299">
            <w:pPr>
              <w:widowControl w:val="0"/>
              <w:rPr/>
            </w:pPr>
            <w:r w:rsidDel="00000000" w:rsidR="00000000" w:rsidRPr="00000000">
              <w:rPr>
                <w:sz w:val="20"/>
                <w:szCs w:val="20"/>
                <w:u w:val="single"/>
                <w:rtl w:val="0"/>
              </w:rPr>
              <w:t xml:space="preserve">The solution was developed using open-source technologies like WebEJS </w:t>
            </w:r>
            <w:r w:rsidDel="00000000" w:rsidR="00000000" w:rsidRPr="00000000">
              <w:fldChar w:fldCharType="end"/>
            </w:r>
            <w:hyperlink r:id="rId10">
              <w:r w:rsidDel="00000000" w:rsidR="00000000" w:rsidRPr="00000000">
                <w:rPr>
                  <w:color w:val="1155cc"/>
                  <w:sz w:val="20"/>
                  <w:szCs w:val="20"/>
                  <w:u w:val="single"/>
                  <w:rtl w:val="0"/>
                </w:rPr>
                <w:t xml:space="preserve">https://www.um.es/fem/wikis/runwebejs/</w:t>
              </w:r>
            </w:hyperlink>
            <w:hyperlink r:id="rId11">
              <w:r w:rsidDel="00000000" w:rsidR="00000000" w:rsidRPr="00000000">
                <w:rPr>
                  <w:sz w:val="20"/>
                  <w:szCs w:val="20"/>
                  <w:u w:val="single"/>
                  <w:rtl w:val="0"/>
                </w:rPr>
                <w:t xml:space="preserve"> and existing platforms (e.g., SLS and institutional repositories), ensuring minimal additional expenditure. This approach maximised the use of available national resources while keeping implementation costs low and sustainable.</w:t>
              </w:r>
            </w:hyperlink>
            <w:r w:rsidDel="00000000" w:rsidR="00000000" w:rsidRPr="00000000">
              <w:rPr>
                <w:rtl w:val="0"/>
              </w:rPr>
            </w:r>
          </w:p>
        </w:tc>
      </w:tr>
      <w:tr>
        <w:trPr>
          <w:cantSplit w:val="0"/>
          <w:trHeight w:val="2385" w:hRule="atLeast"/>
          <w:tblHeader w:val="0"/>
        </w:trPr>
        <w:tc>
          <w:tcPr>
            <w:gridSpan w:val="2"/>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center"/>
          </w:tcPr>
          <w:p w:rsidR="00000000" w:rsidDel="00000000" w:rsidP="00000000" w:rsidRDefault="00000000" w:rsidRPr="00000000" w14:paraId="000002A5">
            <w:pPr>
              <w:widowControl w:val="0"/>
              <w:rPr/>
            </w:pPr>
            <w:r w:rsidDel="00000000" w:rsidR="00000000" w:rsidRPr="00000000">
              <w:rPr>
                <w:sz w:val="20"/>
                <w:szCs w:val="20"/>
                <w:rtl w:val="0"/>
              </w:rPr>
              <w:t xml:space="preserve">Estimated monetary savings (SGD), if any:</w:t>
            </w:r>
            <w:r w:rsidDel="00000000" w:rsidR="00000000" w:rsidRPr="00000000">
              <w:rPr>
                <w:rtl w:val="0"/>
              </w:rPr>
            </w:r>
          </w:p>
        </w:tc>
        <w:tc>
          <w:tcPr>
            <w:gridSpan w:val="12"/>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center"/>
          </w:tcPr>
          <w:p w:rsidR="00000000" w:rsidDel="00000000" w:rsidP="00000000" w:rsidRDefault="00000000" w:rsidRPr="00000000" w14:paraId="000002A7">
            <w:pPr>
              <w:widowControl w:val="0"/>
              <w:rPr>
                <w:sz w:val="20"/>
                <w:szCs w:val="20"/>
              </w:rPr>
            </w:pPr>
            <w:r w:rsidDel="00000000" w:rsidR="00000000" w:rsidRPr="00000000">
              <w:rPr>
                <w:sz w:val="20"/>
                <w:szCs w:val="20"/>
                <w:rtl w:val="0"/>
              </w:rPr>
              <w:t xml:space="preserve">Traditional vendor-developed simulations, including instrumenting them with analytics such as xAPI tracking, are typically estimated at SGD 10,000 per interactive.</w:t>
            </w:r>
          </w:p>
          <w:p w:rsidR="00000000" w:rsidDel="00000000" w:rsidP="00000000" w:rsidRDefault="00000000" w:rsidRPr="00000000" w14:paraId="000002A8">
            <w:pPr>
              <w:widowControl w:val="0"/>
              <w:rPr>
                <w:sz w:val="20"/>
                <w:szCs w:val="20"/>
              </w:rPr>
            </w:pPr>
            <w:r w:rsidDel="00000000" w:rsidR="00000000" w:rsidRPr="00000000">
              <w:rPr>
                <w:sz w:val="20"/>
                <w:szCs w:val="20"/>
                <w:rtl w:val="0"/>
              </w:rPr>
              <w:t xml:space="preserve">With the educator-led AI-assisted creation workflow, including the use of tools that automate embedding of xAPI code, the equivalent effort per interactive simulation (including analytics) is approximately SGD 1,000 (teacher authoring time with AI prompts and integrator support).</w:t>
            </w:r>
          </w:p>
          <w:p w:rsidR="00000000" w:rsidDel="00000000" w:rsidP="00000000" w:rsidRDefault="00000000" w:rsidRPr="00000000" w14:paraId="000002A9">
            <w:pPr>
              <w:widowControl w:val="0"/>
              <w:rPr>
                <w:sz w:val="20"/>
                <w:szCs w:val="20"/>
              </w:rPr>
            </w:pPr>
            <w:r w:rsidDel="00000000" w:rsidR="00000000" w:rsidRPr="00000000">
              <w:rPr>
                <w:sz w:val="20"/>
                <w:szCs w:val="20"/>
                <w:rtl w:val="0"/>
              </w:rPr>
              <w:t xml:space="preserve">Estimated savings per simulation:</w:t>
            </w:r>
          </w:p>
          <w:p w:rsidR="00000000" w:rsidDel="00000000" w:rsidP="00000000" w:rsidRDefault="00000000" w:rsidRPr="00000000" w14:paraId="000002AA">
            <w:pPr>
              <w:widowControl w:val="0"/>
              <w:rPr>
                <w:sz w:val="20"/>
                <w:szCs w:val="20"/>
              </w:rPr>
            </w:pPr>
            <w:r w:rsidDel="00000000" w:rsidR="00000000" w:rsidRPr="00000000">
              <w:rPr>
                <w:rFonts w:ascii="Arial Unicode MS" w:cs="Arial Unicode MS" w:eastAsia="Arial Unicode MS" w:hAnsi="Arial Unicode MS"/>
                <w:sz w:val="20"/>
                <w:szCs w:val="20"/>
                <w:rtl w:val="0"/>
              </w:rPr>
              <w:t xml:space="preserve">SGD 10,000 − SGD 1,000 = SGD 9,000</w:t>
            </w:r>
          </w:p>
          <w:p w:rsidR="00000000" w:rsidDel="00000000" w:rsidP="00000000" w:rsidRDefault="00000000" w:rsidRPr="00000000" w14:paraId="000002AB">
            <w:pPr>
              <w:widowControl w:val="0"/>
              <w:rPr>
                <w:sz w:val="20"/>
                <w:szCs w:val="20"/>
              </w:rPr>
            </w:pPr>
            <w:r w:rsidDel="00000000" w:rsidR="00000000" w:rsidRPr="00000000">
              <w:rPr>
                <w:sz w:val="20"/>
                <w:szCs w:val="20"/>
                <w:rtl w:val="0"/>
              </w:rPr>
              <w:t xml:space="preserve">For 7 simulations:</w:t>
            </w:r>
          </w:p>
          <w:p w:rsidR="00000000" w:rsidDel="00000000" w:rsidP="00000000" w:rsidRDefault="00000000" w:rsidRPr="00000000" w14:paraId="000002AC">
            <w:pPr>
              <w:widowControl w:val="0"/>
              <w:rPr>
                <w:sz w:val="20"/>
                <w:szCs w:val="20"/>
              </w:rPr>
            </w:pPr>
            <w:r w:rsidDel="00000000" w:rsidR="00000000" w:rsidRPr="00000000">
              <w:rPr>
                <w:sz w:val="20"/>
                <w:szCs w:val="20"/>
                <w:rtl w:val="0"/>
              </w:rPr>
              <w:t xml:space="preserve">7 × SGD 9,000 = SGD 63,000</w:t>
            </w:r>
          </w:p>
          <w:p w:rsidR="00000000" w:rsidDel="00000000" w:rsidP="00000000" w:rsidRDefault="00000000" w:rsidRPr="00000000" w14:paraId="000002AD">
            <w:pPr>
              <w:widowControl w:val="0"/>
              <w:rPr>
                <w:sz w:val="20"/>
                <w:szCs w:val="20"/>
              </w:rPr>
            </w:pPr>
            <w:r w:rsidDel="00000000" w:rsidR="00000000" w:rsidRPr="00000000">
              <w:rPr>
                <w:sz w:val="20"/>
                <w:szCs w:val="20"/>
                <w:rtl w:val="0"/>
              </w:rPr>
              <w:t xml:space="preserve">for each xAPI integration, we estimated at $10 of API key call to latest LLM models like ChatGPT 5.3 Codex etc</w:t>
            </w:r>
          </w:p>
          <w:p w:rsidR="00000000" w:rsidDel="00000000" w:rsidP="00000000" w:rsidRDefault="00000000" w:rsidRPr="00000000" w14:paraId="000002AE">
            <w:pPr>
              <w:widowControl w:val="0"/>
              <w:rPr>
                <w:sz w:val="20"/>
                <w:szCs w:val="20"/>
              </w:rPr>
            </w:pPr>
            <w:r w:rsidDel="00000000" w:rsidR="00000000" w:rsidRPr="00000000">
              <w:rPr>
                <w:sz w:val="20"/>
                <w:szCs w:val="20"/>
                <w:rtl w:val="0"/>
              </w:rPr>
              <w:t xml:space="preserve">1000 simulation, we work out to be another $10 000</w:t>
            </w:r>
          </w:p>
          <w:p w:rsidR="00000000" w:rsidDel="00000000" w:rsidP="00000000" w:rsidRDefault="00000000" w:rsidRPr="00000000" w14:paraId="000002AF">
            <w:pPr>
              <w:widowControl w:val="0"/>
              <w:rPr/>
            </w:pPr>
            <w:r w:rsidDel="00000000" w:rsidR="00000000" w:rsidRPr="00000000">
              <w:rPr>
                <w:sz w:val="20"/>
                <w:szCs w:val="20"/>
                <w:rtl w:val="0"/>
              </w:rPr>
              <w:t xml:space="preserve">total is $ 73 000</w:t>
            </w:r>
            <w:r w:rsidDel="00000000" w:rsidR="00000000" w:rsidRPr="00000000">
              <w:rPr>
                <w:rtl w:val="0"/>
              </w:rPr>
            </w:r>
          </w:p>
        </w:tc>
      </w:tr>
      <w:tr>
        <w:trPr>
          <w:cantSplit w:val="0"/>
          <w:trHeight w:val="360" w:hRule="atLeast"/>
          <w:tblHeader w:val="0"/>
        </w:trPr>
        <w:tc>
          <w:tcPr>
            <w:gridSpan w:val="2"/>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center"/>
          </w:tcPr>
          <w:p w:rsidR="00000000" w:rsidDel="00000000" w:rsidP="00000000" w:rsidRDefault="00000000" w:rsidRPr="00000000" w14:paraId="000002BB">
            <w:pPr>
              <w:widowControl w:val="0"/>
              <w:rPr/>
            </w:pPr>
            <w:r w:rsidDel="00000000" w:rsidR="00000000" w:rsidRPr="00000000">
              <w:rPr>
                <w:sz w:val="20"/>
                <w:szCs w:val="20"/>
                <w:rtl w:val="0"/>
              </w:rPr>
              <w:t xml:space="preserve">Estimated man-hour savings (hours), if any:</w:t>
            </w:r>
            <w:r w:rsidDel="00000000" w:rsidR="00000000" w:rsidRPr="00000000">
              <w:rPr>
                <w:rtl w:val="0"/>
              </w:rPr>
            </w:r>
          </w:p>
        </w:tc>
        <w:tc>
          <w:tcPr>
            <w:gridSpan w:val="12"/>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center"/>
          </w:tcPr>
          <w:p w:rsidR="00000000" w:rsidDel="00000000" w:rsidP="00000000" w:rsidRDefault="00000000" w:rsidRPr="00000000" w14:paraId="000002BD">
            <w:pPr>
              <w:widowControl w:val="0"/>
              <w:rPr/>
            </w:pPr>
            <w:r w:rsidDel="00000000" w:rsidR="00000000" w:rsidRPr="00000000">
              <w:rPr>
                <w:sz w:val="20"/>
                <w:szCs w:val="20"/>
                <w:rtl w:val="0"/>
              </w:rPr>
              <w:t xml:space="preserve">1000 teachers per year x 3 hours per simulations to add xAPI data analytics = 30 000 man-hours</w:t>
            </w:r>
            <w:r w:rsidDel="00000000" w:rsidR="00000000" w:rsidRPr="00000000">
              <w:rPr>
                <w:rtl w:val="0"/>
              </w:rPr>
            </w:r>
          </w:p>
        </w:tc>
      </w:tr>
      <w:tr>
        <w:trPr>
          <w:cantSplit w:val="0"/>
          <w:trHeight w:val="525" w:hRule="atLeast"/>
          <w:tblHeader w:val="0"/>
        </w:trPr>
        <w:tc>
          <w:tcPr>
            <w:gridSpan w:val="2"/>
            <w:vMerge w:val="restart"/>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2C9">
            <w:pPr>
              <w:widowControl w:val="0"/>
              <w:rPr>
                <w:sz w:val="20"/>
                <w:szCs w:val="20"/>
              </w:rPr>
            </w:pPr>
            <w:r w:rsidDel="00000000" w:rsidR="00000000" w:rsidRPr="00000000">
              <w:rPr>
                <w:sz w:val="20"/>
                <w:szCs w:val="20"/>
                <w:rtl w:val="0"/>
              </w:rPr>
              <w:t xml:space="preserve">Estimated duration of the project from conceptualisation to implementation.</w:t>
            </w:r>
          </w:p>
        </w:tc>
        <w:tc>
          <w:tcPr>
            <w:gridSpan w:val="12"/>
            <w:vMerge w:val="restart"/>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2CB">
            <w:pPr>
              <w:widowControl w:val="0"/>
              <w:rPr>
                <w:sz w:val="20"/>
                <w:szCs w:val="20"/>
              </w:rPr>
            </w:pPr>
            <w:r w:rsidDel="00000000" w:rsidR="00000000" w:rsidRPr="00000000">
              <w:rPr>
                <w:sz w:val="20"/>
                <w:szCs w:val="20"/>
                <w:rtl w:val="0"/>
              </w:rPr>
              <w:t xml:space="preserve">1.5 years</w:t>
            </w:r>
          </w:p>
        </w:tc>
      </w:tr>
      <w:tr>
        <w:trPr>
          <w:cantSplit w:val="0"/>
          <w:tblHeader w:val="0"/>
        </w:trPr>
        <w:tc>
          <w:tcPr>
            <w:gridSpan w:val="2"/>
            <w:vMerge w:val="continue"/>
            <w:tcBorders>
              <w:top w:color="000000" w:space="0" w:sz="0" w:val="nil"/>
              <w:left w:color="000000" w:space="0" w:sz="9" w:val="single"/>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rPr/>
            </w:pPr>
            <w:r w:rsidDel="00000000" w:rsidR="00000000" w:rsidRPr="00000000">
              <w:rPr>
                <w:rtl w:val="0"/>
              </w:rPr>
            </w:r>
          </w:p>
        </w:tc>
        <w:tc>
          <w:tcPr>
            <w:gridSpan w:val="12"/>
            <w:vMerge w:val="continue"/>
            <w:tcBorders>
              <w:top w:color="000000" w:space="0" w:sz="0" w:val="nil"/>
              <w:left w:color="000000" w:space="0" w:sz="0" w:val="nil"/>
              <w:bottom w:color="000000" w:space="0" w:sz="9" w:val="single"/>
            </w:tcBorders>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rPr/>
            </w:pPr>
            <w:r w:rsidDel="00000000" w:rsidR="00000000" w:rsidRPr="00000000">
              <w:rPr>
                <w:rtl w:val="0"/>
              </w:rPr>
            </w:r>
          </w:p>
        </w:tc>
      </w:tr>
    </w:tbl>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tbl>
      <w:tblPr>
        <w:tblStyle w:val="Table9"/>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14.1981468282254"/>
        <w:gridCol w:w="820.584461867427"/>
        <w:gridCol w:w="907.3129009265859"/>
        <w:gridCol w:w="1514.4119743406986"/>
        <w:gridCol w:w="527.0420527441197"/>
        <w:gridCol w:w="466.9992872416251"/>
        <w:gridCol w:w="466.9992872416251"/>
        <w:gridCol w:w="466.9992872416251"/>
        <w:gridCol w:w="466.9992872416251"/>
        <w:gridCol w:w="466.9992872416251"/>
        <w:gridCol w:w="553.7277263007841"/>
        <w:gridCol w:w="553.7277263007841"/>
        <w:gridCol w:w="466.9992872416251"/>
        <w:gridCol w:w="466.9992872416251"/>
        <w:tblGridChange w:id="0">
          <w:tblGrid>
            <w:gridCol w:w="1214.1981468282254"/>
            <w:gridCol w:w="820.584461867427"/>
            <w:gridCol w:w="907.3129009265859"/>
            <w:gridCol w:w="1514.4119743406986"/>
            <w:gridCol w:w="527.0420527441197"/>
            <w:gridCol w:w="466.9992872416251"/>
            <w:gridCol w:w="466.9992872416251"/>
            <w:gridCol w:w="466.9992872416251"/>
            <w:gridCol w:w="466.9992872416251"/>
            <w:gridCol w:w="466.9992872416251"/>
            <w:gridCol w:w="553.7277263007841"/>
            <w:gridCol w:w="553.7277263007841"/>
            <w:gridCol w:w="466.9992872416251"/>
            <w:gridCol w:w="466.9992872416251"/>
          </w:tblGrid>
        </w:tblGridChange>
      </w:tblGrid>
      <w:tr>
        <w:trPr>
          <w:cantSplit w:val="0"/>
          <w:trHeight w:val="420" w:hRule="atLeast"/>
          <w:tblHeader w:val="0"/>
        </w:trPr>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8">
            <w:pPr>
              <w:widowControl w:val="0"/>
              <w:rPr/>
            </w:pPr>
            <w:r w:rsidDel="00000000" w:rsidR="00000000" w:rsidRPr="00000000">
              <w:rPr>
                <w:b w:val="1"/>
                <w:bCs w:val="1"/>
                <w:sz w:val="20"/>
                <w:szCs w:val="20"/>
                <w:u w:val="single"/>
                <w:rtl w:val="0"/>
              </w:rPr>
              <w:t xml:space="preserve">Point of Contacts (POCs)</w:t>
            </w: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9">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A">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B">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C">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D">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E">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EF">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F0">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F1">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F2">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F3">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F4">
            <w:pPr>
              <w:widowControl w:val="0"/>
              <w:rPr/>
            </w:pPr>
            <w:r w:rsidDel="00000000" w:rsidR="00000000" w:rsidRPr="00000000">
              <w:rPr>
                <w:rtl w:val="0"/>
              </w:rPr>
            </w:r>
          </w:p>
        </w:tc>
        <w:tc>
          <w:tcPr>
            <w:tcBorders>
              <w:top w:color="000000" w:space="0" w:sz="0" w:val="nil"/>
              <w:left w:color="000000" w:space="0" w:sz="0" w:val="nil"/>
              <w:bottom w:color="000000" w:space="0" w:sz="9" w:val="single"/>
              <w:right w:color="000000" w:space="0" w:sz="0" w:val="nil"/>
            </w:tcBorders>
            <w:tcMar>
              <w:top w:w="0.0" w:type="dxa"/>
              <w:left w:w="40.0" w:type="dxa"/>
              <w:bottom w:w="0.0" w:type="dxa"/>
              <w:right w:w="40.0" w:type="dxa"/>
            </w:tcMar>
            <w:vAlign w:val="top"/>
          </w:tcPr>
          <w:p w:rsidR="00000000" w:rsidDel="00000000" w:rsidP="00000000" w:rsidRDefault="00000000" w:rsidRPr="00000000" w14:paraId="000002F5">
            <w:pPr>
              <w:widowControl w:val="0"/>
              <w:rPr/>
            </w:pPr>
            <w:r w:rsidDel="00000000" w:rsidR="00000000" w:rsidRPr="00000000">
              <w:rPr>
                <w:rtl w:val="0"/>
              </w:rPr>
            </w:r>
          </w:p>
        </w:tc>
      </w:tr>
      <w:tr>
        <w:trPr>
          <w:cantSplit w:val="0"/>
          <w:trHeight w:val="300"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2F6">
            <w:pPr>
              <w:widowControl w:val="0"/>
              <w:rPr/>
            </w:pPr>
            <w:r w:rsidDel="00000000" w:rsidR="00000000" w:rsidRPr="00000000">
              <w:rPr>
                <w:b w:val="1"/>
                <w:bCs w:val="1"/>
                <w:sz w:val="20"/>
                <w:szCs w:val="20"/>
                <w:rtl w:val="0"/>
              </w:rPr>
              <w:t xml:space="preserve">POC 1 (Project Team Lead)</w:t>
            </w:r>
            <w:r w:rsidDel="00000000" w:rsidR="00000000" w:rsidRPr="00000000">
              <w:rPr>
                <w:rtl w:val="0"/>
              </w:rPr>
            </w:r>
          </w:p>
        </w:tc>
      </w:tr>
      <w:tr>
        <w:trPr>
          <w:cantSplit w:val="0"/>
          <w:trHeight w:val="255" w:hRule="atLeast"/>
          <w:tblHeader w:val="0"/>
        </w:trPr>
        <w:tc>
          <w:tcPr>
            <w:gridSpan w:val="2"/>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04">
            <w:pPr>
              <w:widowControl w:val="0"/>
              <w:rPr/>
            </w:pPr>
            <w:r w:rsidDel="00000000" w:rsidR="00000000" w:rsidRPr="00000000">
              <w:rPr>
                <w:b w:val="1"/>
                <w:bCs w:val="1"/>
                <w:sz w:val="20"/>
                <w:szCs w:val="20"/>
                <w:rtl w:val="0"/>
              </w:rPr>
              <w:t xml:space="preserve">Name</w:t>
            </w:r>
            <w:r w:rsidDel="00000000" w:rsidR="00000000" w:rsidRPr="00000000">
              <w:rPr>
                <w:rtl w:val="0"/>
              </w:rPr>
            </w:r>
          </w:p>
        </w:tc>
        <w:tc>
          <w:tcPr>
            <w:gridSpan w:val="12"/>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06">
            <w:pPr>
              <w:widowControl w:val="0"/>
              <w:rPr/>
            </w:pPr>
            <w:r w:rsidDel="00000000" w:rsidR="00000000" w:rsidRPr="00000000">
              <w:rPr>
                <w:sz w:val="20"/>
                <w:szCs w:val="20"/>
                <w:rtl w:val="0"/>
              </w:rPr>
              <w:t xml:space="preserve">Dr Loh Mei Yoke (Lead Specialist, CPDD)</w:t>
            </w:r>
            <w:r w:rsidDel="00000000" w:rsidR="00000000" w:rsidRPr="00000000">
              <w:rPr>
                <w:rtl w:val="0"/>
              </w:rPr>
            </w:r>
          </w:p>
        </w:tc>
      </w:tr>
      <w:tr>
        <w:trPr>
          <w:cantSplit w:val="0"/>
          <w:trHeight w:val="255" w:hRule="atLeast"/>
          <w:tblHeader w:val="0"/>
        </w:trPr>
        <w:tc>
          <w:tcPr>
            <w:gridSpan w:val="2"/>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12">
            <w:pPr>
              <w:widowControl w:val="0"/>
              <w:rPr/>
            </w:pPr>
            <w:r w:rsidDel="00000000" w:rsidR="00000000" w:rsidRPr="00000000">
              <w:rPr>
                <w:b w:val="1"/>
                <w:bCs w:val="1"/>
                <w:sz w:val="20"/>
                <w:szCs w:val="20"/>
                <w:rtl w:val="0"/>
              </w:rPr>
              <w:t xml:space="preserve">Work Email Address</w:t>
            </w:r>
            <w:r w:rsidDel="00000000" w:rsidR="00000000" w:rsidRPr="00000000">
              <w:rPr>
                <w:rtl w:val="0"/>
              </w:rPr>
            </w:r>
          </w:p>
        </w:tc>
        <w:tc>
          <w:tcPr>
            <w:gridSpan w:val="12"/>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14">
            <w:pPr>
              <w:widowControl w:val="0"/>
              <w:rPr/>
            </w:pPr>
            <w:r w:rsidDel="00000000" w:rsidR="00000000" w:rsidRPr="00000000">
              <w:rPr>
                <w:sz w:val="20"/>
                <w:szCs w:val="20"/>
                <w:rtl w:val="0"/>
              </w:rPr>
              <w:t xml:space="preserve">loh_mei_yoke@moe.gov.sg</w:t>
            </w:r>
            <w:r w:rsidDel="00000000" w:rsidR="00000000" w:rsidRPr="00000000">
              <w:rPr>
                <w:rtl w:val="0"/>
              </w:rPr>
            </w:r>
          </w:p>
        </w:tc>
      </w:tr>
      <w:tr>
        <w:trPr>
          <w:cantSplit w:val="0"/>
          <w:trHeight w:val="300" w:hRule="atLeast"/>
          <w:tblHeader w:val="0"/>
        </w:trPr>
        <w:tc>
          <w:tcPr>
            <w:gridSpan w:val="14"/>
            <w:tcBorders>
              <w:top w:color="000000" w:space="0" w:sz="0" w:val="nil"/>
              <w:left w:color="000000" w:space="0" w:sz="9" w:val="single"/>
              <w:bottom w:color="000000" w:space="0" w:sz="9" w:val="single"/>
              <w:right w:color="000000" w:space="0" w:sz="9" w:val="single"/>
            </w:tcBorders>
            <w:shd w:fill="e8e8e8" w:val="clear"/>
            <w:tcMar>
              <w:top w:w="0.0" w:type="dxa"/>
              <w:left w:w="40.0" w:type="dxa"/>
              <w:bottom w:w="0.0" w:type="dxa"/>
              <w:right w:w="40.0" w:type="dxa"/>
            </w:tcMar>
            <w:vAlign w:val="top"/>
          </w:tcPr>
          <w:p w:rsidR="00000000" w:rsidDel="00000000" w:rsidP="00000000" w:rsidRDefault="00000000" w:rsidRPr="00000000" w14:paraId="00000320">
            <w:pPr>
              <w:widowControl w:val="0"/>
              <w:rPr/>
            </w:pPr>
            <w:r w:rsidDel="00000000" w:rsidR="00000000" w:rsidRPr="00000000">
              <w:rPr>
                <w:b w:val="1"/>
                <w:bCs w:val="1"/>
                <w:sz w:val="20"/>
                <w:szCs w:val="20"/>
                <w:rtl w:val="0"/>
              </w:rPr>
              <w:t xml:space="preserve">POC 2</w:t>
            </w:r>
            <w:r w:rsidDel="00000000" w:rsidR="00000000" w:rsidRPr="00000000">
              <w:rPr>
                <w:rtl w:val="0"/>
              </w:rPr>
            </w:r>
          </w:p>
        </w:tc>
      </w:tr>
      <w:tr>
        <w:trPr>
          <w:cantSplit w:val="0"/>
          <w:trHeight w:val="255" w:hRule="atLeast"/>
          <w:tblHeader w:val="0"/>
        </w:trPr>
        <w:tc>
          <w:tcPr>
            <w:gridSpan w:val="2"/>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2E">
            <w:pPr>
              <w:widowControl w:val="0"/>
              <w:rPr/>
            </w:pPr>
            <w:r w:rsidDel="00000000" w:rsidR="00000000" w:rsidRPr="00000000">
              <w:rPr>
                <w:b w:val="1"/>
                <w:bCs w:val="1"/>
                <w:sz w:val="20"/>
                <w:szCs w:val="20"/>
                <w:rtl w:val="0"/>
              </w:rPr>
              <w:t xml:space="preserve">Name</w:t>
            </w:r>
            <w:r w:rsidDel="00000000" w:rsidR="00000000" w:rsidRPr="00000000">
              <w:rPr>
                <w:rtl w:val="0"/>
              </w:rPr>
            </w:r>
          </w:p>
        </w:tc>
        <w:tc>
          <w:tcPr>
            <w:gridSpan w:val="12"/>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30">
            <w:pPr>
              <w:widowControl w:val="0"/>
              <w:rPr/>
            </w:pPr>
            <w:r w:rsidDel="00000000" w:rsidR="00000000" w:rsidRPr="00000000">
              <w:rPr>
                <w:sz w:val="20"/>
                <w:szCs w:val="20"/>
                <w:rtl w:val="0"/>
              </w:rPr>
              <w:t xml:space="preserve">Lawrence Wee (Lead Specialist, ETD)</w:t>
            </w:r>
            <w:r w:rsidDel="00000000" w:rsidR="00000000" w:rsidRPr="00000000">
              <w:rPr>
                <w:rtl w:val="0"/>
              </w:rPr>
            </w:r>
          </w:p>
        </w:tc>
      </w:tr>
      <w:tr>
        <w:trPr>
          <w:cantSplit w:val="0"/>
          <w:trHeight w:val="255" w:hRule="atLeast"/>
          <w:tblHeader w:val="0"/>
        </w:trPr>
        <w:tc>
          <w:tcPr>
            <w:gridSpan w:val="2"/>
            <w:tcBorders>
              <w:top w:color="000000" w:space="0" w:sz="0" w:val="nil"/>
              <w:left w:color="000000" w:space="0" w:sz="9" w:val="single"/>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3C">
            <w:pPr>
              <w:widowControl w:val="0"/>
              <w:rPr/>
            </w:pPr>
            <w:r w:rsidDel="00000000" w:rsidR="00000000" w:rsidRPr="00000000">
              <w:rPr>
                <w:b w:val="1"/>
                <w:bCs w:val="1"/>
                <w:sz w:val="20"/>
                <w:szCs w:val="20"/>
                <w:rtl w:val="0"/>
              </w:rPr>
              <w:t xml:space="preserve">Work Email Address</w:t>
            </w:r>
            <w:r w:rsidDel="00000000" w:rsidR="00000000" w:rsidRPr="00000000">
              <w:rPr>
                <w:rtl w:val="0"/>
              </w:rPr>
            </w:r>
          </w:p>
        </w:tc>
        <w:tc>
          <w:tcPr>
            <w:gridSpan w:val="12"/>
            <w:tcBorders>
              <w:top w:color="000000" w:space="0" w:sz="0" w:val="nil"/>
              <w:left w:color="000000" w:space="0" w:sz="0" w:val="nil"/>
              <w:bottom w:color="000000" w:space="0" w:sz="9" w:val="single"/>
              <w:right w:color="000000" w:space="0" w:sz="9" w:val="single"/>
            </w:tcBorders>
            <w:shd w:fill="auto" w:val="clear"/>
            <w:tcMar>
              <w:top w:w="0.0" w:type="dxa"/>
              <w:left w:w="40.0" w:type="dxa"/>
              <w:bottom w:w="0.0" w:type="dxa"/>
              <w:right w:w="40.0" w:type="dxa"/>
            </w:tcMar>
            <w:vAlign w:val="top"/>
          </w:tcPr>
          <w:p w:rsidR="00000000" w:rsidDel="00000000" w:rsidP="00000000" w:rsidRDefault="00000000" w:rsidRPr="00000000" w14:paraId="0000033E">
            <w:pPr>
              <w:widowControl w:val="0"/>
              <w:rPr/>
            </w:pPr>
            <w:r w:rsidDel="00000000" w:rsidR="00000000" w:rsidRPr="00000000">
              <w:rPr>
                <w:sz w:val="20"/>
                <w:szCs w:val="20"/>
                <w:rtl w:val="0"/>
              </w:rPr>
              <w:t xml:space="preserve">lawrence_wee@moe.gov.sg</w:t>
            </w:r>
            <w:r w:rsidDel="00000000" w:rsidR="00000000" w:rsidRPr="00000000">
              <w:rPr>
                <w:rtl w:val="0"/>
              </w:rPr>
            </w:r>
          </w:p>
        </w:tc>
      </w:tr>
    </w:tbl>
    <w:p w:rsidR="00000000" w:rsidDel="00000000" w:rsidP="00000000" w:rsidRDefault="00000000" w:rsidRPr="00000000" w14:paraId="0000034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um.es/fem/wikis/runwebejs/" TargetMode="External"/><Relationship Id="rId10" Type="http://schemas.openxmlformats.org/officeDocument/2006/relationships/hyperlink" Target="https://www.um.es/fem/wikis/runwebejs/" TargetMode="External"/><Relationship Id="rId9" Type="http://schemas.openxmlformats.org/officeDocument/2006/relationships/hyperlink" Target="https://iwant2study.org/lookangejss/appXapiIntegratorAgent/" TargetMode="External"/><Relationship Id="rId5" Type="http://schemas.openxmlformats.org/officeDocument/2006/relationships/styles" Target="styles.xml"/><Relationship Id="rId6" Type="http://schemas.openxmlformats.org/officeDocument/2006/relationships/hyperlink" Target="https://xapi.com" TargetMode="External"/><Relationship Id="rId7" Type="http://schemas.openxmlformats.org/officeDocument/2006/relationships/hyperlink" Target="https://sg.iwant2study.org/ospsg/index.php/projects/326-sstrf2025" TargetMode="External"/><Relationship Id="rId8" Type="http://schemas.openxmlformats.org/officeDocument/2006/relationships/hyperlink" Target="https://vle.learning.moe.edu.sg/search?keyword=sstrf&amp;location=MOE&amp;resource=LESSON&amp;subject=&amp;le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