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Annex 1: Links to SLS packages</w:t>
      </w:r>
      <w:r w:rsidDel="00000000" w:rsidR="00000000" w:rsidRPr="00000000">
        <w:rPr>
          <w:rFonts w:ascii="Arial" w:cs="Arial" w:eastAsia="Arial" w:hAnsi="Arial"/>
          <w:sz w:val="20"/>
          <w:szCs w:val="20"/>
          <w:rtl w:val="0"/>
        </w:rPr>
        <w:t xml:space="preserve"> </w:t>
      </w:r>
    </w:p>
    <w:tbl>
      <w:tblPr>
        <w:tblStyle w:val="Table1"/>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5812"/>
        <w:tblGridChange w:id="0">
          <w:tblGrid>
            <w:gridCol w:w="2972"/>
            <w:gridCol w:w="5812"/>
          </w:tblGrid>
        </w:tblGridChange>
      </w:tblGrid>
      <w:tr>
        <w:trPr>
          <w:cantSplit w:val="0"/>
          <w:tblHeader w:val="0"/>
        </w:trPr>
        <w:tc>
          <w:tcPr/>
          <w:p w:rsidR="00000000" w:rsidDel="00000000" w:rsidP="00000000" w:rsidRDefault="00000000" w:rsidRPr="00000000" w14:paraId="0000000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Topic</w:t>
            </w:r>
          </w:p>
        </w:tc>
        <w:tc>
          <w:tcPr/>
          <w:p w:rsidR="00000000" w:rsidDel="00000000" w:rsidP="00000000" w:rsidRDefault="00000000" w:rsidRPr="00000000" w14:paraId="0000000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URL</w:t>
            </w:r>
          </w:p>
        </w:tc>
      </w:tr>
      <w:tr>
        <w:trPr>
          <w:cantSplit w:val="0"/>
          <w:tblHeader w:val="0"/>
        </w:trPr>
        <w:tc>
          <w:tcPr/>
          <w:p w:rsidR="00000000" w:rsidDel="00000000" w:rsidP="00000000" w:rsidRDefault="00000000" w:rsidRPr="00000000" w14:paraId="0000000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P2 Volume</w:t>
            </w:r>
          </w:p>
        </w:tc>
        <w:tc>
          <w:tcPr/>
          <w:p w:rsidR="00000000" w:rsidDel="00000000" w:rsidP="00000000" w:rsidRDefault="00000000" w:rsidRPr="00000000" w14:paraId="00000005">
            <w:pPr>
              <w:spacing w:line="276" w:lineRule="auto"/>
              <w:rPr>
                <w:rFonts w:ascii="Arial" w:cs="Arial" w:eastAsia="Arial" w:hAnsi="Arial"/>
                <w:sz w:val="20"/>
                <w:szCs w:val="20"/>
              </w:rPr>
            </w:pPr>
            <w:hyperlink r:id="rId7">
              <w:r w:rsidDel="00000000" w:rsidR="00000000" w:rsidRPr="00000000">
                <w:rPr>
                  <w:rFonts w:ascii="Arial" w:cs="Arial" w:eastAsia="Arial" w:hAnsi="Arial"/>
                  <w:color w:val="467886"/>
                  <w:sz w:val="20"/>
                  <w:szCs w:val="20"/>
                  <w:u w:val="single"/>
                  <w:rtl w:val="0"/>
                </w:rPr>
                <w:t xml:space="preserve">https://go.gov.sg/primath-p2volume</w:t>
              </w:r>
            </w:hyperlink>
            <w:r w:rsidDel="00000000" w:rsidR="00000000" w:rsidRPr="00000000">
              <w:rPr>
                <w:rtl w:val="0"/>
              </w:rPr>
            </w:r>
          </w:p>
        </w:tc>
      </w:tr>
      <w:tr>
        <w:trPr>
          <w:cantSplit w:val="0"/>
          <w:tblHeader w:val="0"/>
        </w:trPr>
        <w:tc>
          <w:tcPr/>
          <w:p w:rsidR="00000000" w:rsidDel="00000000" w:rsidP="00000000" w:rsidRDefault="00000000" w:rsidRPr="00000000" w14:paraId="0000000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P2 Multiplication and Division</w:t>
            </w:r>
          </w:p>
        </w:tc>
        <w:tc>
          <w:tcPr/>
          <w:p w:rsidR="00000000" w:rsidDel="00000000" w:rsidP="00000000" w:rsidRDefault="00000000" w:rsidRPr="00000000" w14:paraId="00000007">
            <w:pPr>
              <w:spacing w:line="276" w:lineRule="auto"/>
              <w:rPr>
                <w:rFonts w:ascii="Arial" w:cs="Arial" w:eastAsia="Arial" w:hAnsi="Arial"/>
                <w:sz w:val="20"/>
                <w:szCs w:val="20"/>
              </w:rPr>
            </w:pPr>
            <w:hyperlink r:id="rId8">
              <w:r w:rsidDel="00000000" w:rsidR="00000000" w:rsidRPr="00000000">
                <w:rPr>
                  <w:rFonts w:ascii="Arial" w:cs="Arial" w:eastAsia="Arial" w:hAnsi="Arial"/>
                  <w:color w:val="467886"/>
                  <w:sz w:val="20"/>
                  <w:szCs w:val="20"/>
                  <w:u w:val="single"/>
                  <w:rtl w:val="0"/>
                </w:rPr>
                <w:t xml:space="preserve">https://go.gov.sg/primath-p2multipyanddivide</w:t>
              </w:r>
            </w:hyperlink>
            <w:r w:rsidDel="00000000" w:rsidR="00000000" w:rsidRPr="00000000">
              <w:rPr>
                <w:rtl w:val="0"/>
              </w:rPr>
            </w:r>
          </w:p>
        </w:tc>
      </w:tr>
      <w:tr>
        <w:trPr>
          <w:cantSplit w:val="0"/>
          <w:tblHeader w:val="0"/>
        </w:trPr>
        <w:tc>
          <w:tcPr/>
          <w:p w:rsidR="00000000" w:rsidDel="00000000" w:rsidP="00000000" w:rsidRDefault="00000000" w:rsidRPr="00000000" w14:paraId="0000000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P2 Length</w:t>
            </w:r>
          </w:p>
        </w:tc>
        <w:tc>
          <w:tcPr/>
          <w:p w:rsidR="00000000" w:rsidDel="00000000" w:rsidP="00000000" w:rsidRDefault="00000000" w:rsidRPr="00000000" w14:paraId="00000009">
            <w:pPr>
              <w:spacing w:line="276" w:lineRule="auto"/>
              <w:rPr>
                <w:rFonts w:ascii="Arial" w:cs="Arial" w:eastAsia="Arial" w:hAnsi="Arial"/>
                <w:sz w:val="20"/>
                <w:szCs w:val="20"/>
              </w:rPr>
            </w:pPr>
            <w:hyperlink r:id="rId9">
              <w:r w:rsidDel="00000000" w:rsidR="00000000" w:rsidRPr="00000000">
                <w:rPr>
                  <w:rFonts w:ascii="Arial" w:cs="Arial" w:eastAsia="Arial" w:hAnsi="Arial"/>
                  <w:color w:val="467886"/>
                  <w:sz w:val="20"/>
                  <w:szCs w:val="20"/>
                  <w:u w:val="single"/>
                  <w:rtl w:val="0"/>
                </w:rPr>
                <w:t xml:space="preserve">https://go.gov.sg/primath-p2length</w:t>
              </w:r>
            </w:hyperlink>
            <w:r w:rsidDel="00000000" w:rsidR="00000000" w:rsidRPr="00000000">
              <w:rPr>
                <w:rtl w:val="0"/>
              </w:rPr>
            </w:r>
          </w:p>
        </w:tc>
      </w:tr>
      <w:tr>
        <w:trPr>
          <w:cantSplit w:val="0"/>
          <w:tblHeader w:val="0"/>
        </w:trPr>
        <w:tc>
          <w:tcPr/>
          <w:p w:rsidR="00000000" w:rsidDel="00000000" w:rsidP="00000000" w:rsidRDefault="00000000" w:rsidRPr="00000000" w14:paraId="0000000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P3 Area</w:t>
            </w:r>
          </w:p>
        </w:tc>
        <w:tc>
          <w:tcPr/>
          <w:p w:rsidR="00000000" w:rsidDel="00000000" w:rsidP="00000000" w:rsidRDefault="00000000" w:rsidRPr="00000000" w14:paraId="0000000B">
            <w:pPr>
              <w:spacing w:line="276" w:lineRule="auto"/>
              <w:rPr>
                <w:rFonts w:ascii="Arial" w:cs="Arial" w:eastAsia="Arial" w:hAnsi="Arial"/>
                <w:sz w:val="20"/>
                <w:szCs w:val="20"/>
              </w:rPr>
            </w:pPr>
            <w:hyperlink r:id="rId10">
              <w:r w:rsidDel="00000000" w:rsidR="00000000" w:rsidRPr="00000000">
                <w:rPr>
                  <w:rFonts w:ascii="Arial" w:cs="Arial" w:eastAsia="Arial" w:hAnsi="Arial"/>
                  <w:color w:val="467886"/>
                  <w:sz w:val="20"/>
                  <w:szCs w:val="20"/>
                  <w:u w:val="single"/>
                  <w:rtl w:val="0"/>
                </w:rPr>
                <w:t xml:space="preserve">https://go.gov.sg/p3-area</w:t>
              </w:r>
            </w:hyperlink>
            <w:r w:rsidDel="00000000" w:rsidR="00000000" w:rsidRPr="00000000">
              <w:rPr>
                <w:rtl w:val="0"/>
              </w:rPr>
            </w:r>
          </w:p>
        </w:tc>
      </w:tr>
      <w:tr>
        <w:trPr>
          <w:cantSplit w:val="0"/>
          <w:tblHeader w:val="0"/>
        </w:trPr>
        <w:tc>
          <w:tcPr/>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P4 Nets</w:t>
            </w:r>
          </w:p>
        </w:tc>
        <w:tc>
          <w:tcPr/>
          <w:p w:rsidR="00000000" w:rsidDel="00000000" w:rsidP="00000000" w:rsidRDefault="00000000" w:rsidRPr="00000000" w14:paraId="0000000D">
            <w:pPr>
              <w:spacing w:line="276" w:lineRule="auto"/>
              <w:rPr>
                <w:rFonts w:ascii="Arial" w:cs="Arial" w:eastAsia="Arial" w:hAnsi="Arial"/>
                <w:sz w:val="20"/>
                <w:szCs w:val="20"/>
              </w:rPr>
            </w:pPr>
            <w:hyperlink r:id="rId11">
              <w:r w:rsidDel="00000000" w:rsidR="00000000" w:rsidRPr="00000000">
                <w:rPr>
                  <w:rFonts w:ascii="Arial" w:cs="Arial" w:eastAsia="Arial" w:hAnsi="Arial"/>
                  <w:color w:val="467886"/>
                  <w:sz w:val="20"/>
                  <w:szCs w:val="20"/>
                  <w:u w:val="single"/>
                  <w:rtl w:val="0"/>
                </w:rPr>
                <w:t xml:space="preserve">https://go.gov.sg/primath-p4netsofcube</w:t>
              </w:r>
            </w:hyperlink>
            <w:r w:rsidDel="00000000" w:rsidR="00000000" w:rsidRPr="00000000">
              <w:rPr>
                <w:rtl w:val="0"/>
              </w:rPr>
            </w:r>
          </w:p>
        </w:tc>
      </w:tr>
      <w:tr>
        <w:trPr>
          <w:cantSplit w:val="0"/>
          <w:tblHeader w:val="0"/>
        </w:trPr>
        <w:tc>
          <w:tcPr/>
          <w:p w:rsidR="00000000" w:rsidDel="00000000" w:rsidP="00000000" w:rsidRDefault="00000000" w:rsidRPr="00000000" w14:paraId="0000000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P4 Line Symmetry</w:t>
            </w:r>
          </w:p>
        </w:tc>
        <w:tc>
          <w:tcPr/>
          <w:p w:rsidR="00000000" w:rsidDel="00000000" w:rsidP="00000000" w:rsidRDefault="00000000" w:rsidRPr="00000000" w14:paraId="0000000F">
            <w:pPr>
              <w:spacing w:line="276" w:lineRule="auto"/>
              <w:rPr>
                <w:rFonts w:ascii="Arial" w:cs="Arial" w:eastAsia="Arial" w:hAnsi="Arial"/>
                <w:sz w:val="20"/>
                <w:szCs w:val="20"/>
              </w:rPr>
            </w:pPr>
            <w:hyperlink r:id="rId12">
              <w:r w:rsidDel="00000000" w:rsidR="00000000" w:rsidRPr="00000000">
                <w:rPr>
                  <w:rFonts w:ascii="Arial" w:cs="Arial" w:eastAsia="Arial" w:hAnsi="Arial"/>
                  <w:color w:val="467886"/>
                  <w:sz w:val="20"/>
                  <w:szCs w:val="20"/>
                  <w:u w:val="single"/>
                  <w:rtl w:val="0"/>
                </w:rPr>
                <w:t xml:space="preserve">https://go.gov.sg/primath-p4linesymmetry</w:t>
              </w:r>
            </w:hyperlink>
            <w:r w:rsidDel="00000000" w:rsidR="00000000" w:rsidRPr="00000000">
              <w:rPr>
                <w:rtl w:val="0"/>
              </w:rPr>
            </w:r>
          </w:p>
        </w:tc>
      </w:tr>
      <w:tr>
        <w:trPr>
          <w:cantSplit w:val="0"/>
          <w:tblHeader w:val="0"/>
        </w:trPr>
        <w:tc>
          <w:tcPr/>
          <w:p w:rsidR="00000000" w:rsidDel="00000000" w:rsidP="00000000" w:rsidRDefault="00000000" w:rsidRPr="00000000" w14:paraId="0000001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P4 Line Symmetry (Shading)</w:t>
            </w:r>
          </w:p>
        </w:tc>
        <w:tc>
          <w:tcPr/>
          <w:p w:rsidR="00000000" w:rsidDel="00000000" w:rsidP="00000000" w:rsidRDefault="00000000" w:rsidRPr="00000000" w14:paraId="00000011">
            <w:pPr>
              <w:spacing w:line="276" w:lineRule="auto"/>
              <w:rPr>
                <w:rFonts w:ascii="Arial" w:cs="Arial" w:eastAsia="Arial" w:hAnsi="Arial"/>
                <w:sz w:val="20"/>
                <w:szCs w:val="20"/>
              </w:rPr>
            </w:pPr>
            <w:hyperlink r:id="rId13">
              <w:r w:rsidDel="00000000" w:rsidR="00000000" w:rsidRPr="00000000">
                <w:rPr>
                  <w:rFonts w:ascii="Arial" w:cs="Arial" w:eastAsia="Arial" w:hAnsi="Arial"/>
                  <w:color w:val="467886"/>
                  <w:sz w:val="20"/>
                  <w:szCs w:val="20"/>
                  <w:u w:val="single"/>
                  <w:rtl w:val="0"/>
                </w:rPr>
                <w:t xml:space="preserve">https://go.gov.sg/primath-p4linesymmetryshading</w:t>
              </w:r>
            </w:hyperlink>
            <w:r w:rsidDel="00000000" w:rsidR="00000000" w:rsidRPr="00000000">
              <w:rPr>
                <w:rtl w:val="0"/>
              </w:rPr>
            </w:r>
          </w:p>
        </w:tc>
      </w:tr>
    </w:tbl>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Annex 2: List of textbook pages</w:t>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947359" cy="1707404"/>
            <wp:effectExtent b="0" l="0" r="0" t="0"/>
            <wp:docPr id="119440654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47359" cy="170740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023674" cy="1595515"/>
            <wp:effectExtent b="0" l="0" r="0" t="0"/>
            <wp:docPr id="119440654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023674" cy="1595515"/>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0" distT="0" distL="0" distR="0">
            <wp:extent cx="1199888" cy="2195558"/>
            <wp:effectExtent b="0" l="0" r="0" t="0"/>
            <wp:docPr id="1194406543" name="image11.jpg"/>
            <a:graphic>
              <a:graphicData uri="http://schemas.openxmlformats.org/drawingml/2006/picture">
                <pic:pic>
                  <pic:nvPicPr>
                    <pic:cNvPr id="0" name="image11.jpg"/>
                    <pic:cNvPicPr preferRelativeResize="0"/>
                  </pic:nvPicPr>
                  <pic:blipFill>
                    <a:blip r:embed="rId16"/>
                    <a:srcRect b="12451" l="0" r="0" t="5219"/>
                    <a:stretch>
                      <a:fillRect/>
                    </a:stretch>
                  </pic:blipFill>
                  <pic:spPr>
                    <a:xfrm>
                      <a:off x="0" y="0"/>
                      <a:ext cx="1199888" cy="219555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Fonts w:ascii="Arial" w:cs="Arial" w:eastAsia="Arial" w:hAnsi="Arial"/>
          <w:sz w:val="20"/>
          <w:szCs w:val="20"/>
          <w:rtl w:val="0"/>
        </w:rPr>
        <w:t xml:space="preserve">Annex 3: There are more than 3,000 views for P4 Nets Interactive since rollout in September 2025. Nets is the first interactive that was shared on SLS. </w:t>
      </w:r>
    </w:p>
    <w:p w:rsidR="00000000" w:rsidDel="00000000" w:rsidP="00000000" w:rsidRDefault="00000000" w:rsidRPr="00000000" w14:paraId="00000016">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Annex 4: Students actively engaging in using the interactives:</w:t>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For the line symmetry interactive: A student create half a symmetric figure for the 2</w:t>
      </w:r>
      <w:r w:rsidDel="00000000" w:rsidR="00000000" w:rsidRPr="00000000">
        <w:rPr>
          <w:rFonts w:ascii="Arial" w:cs="Arial" w:eastAsia="Arial" w:hAnsi="Arial"/>
          <w:sz w:val="20"/>
          <w:szCs w:val="20"/>
          <w:vertAlign w:val="superscript"/>
          <w:rtl w:val="0"/>
        </w:rPr>
        <w:t xml:space="preserve">nd</w:t>
      </w:r>
      <w:r w:rsidDel="00000000" w:rsidR="00000000" w:rsidRPr="00000000">
        <w:rPr>
          <w:rFonts w:ascii="Arial" w:cs="Arial" w:eastAsia="Arial" w:hAnsi="Arial"/>
          <w:sz w:val="20"/>
          <w:szCs w:val="20"/>
          <w:rtl w:val="0"/>
        </w:rPr>
        <w:t xml:space="preserve"> student to complete. This provides opportunities for students to display their creativity and visualisation.</w:t>
      </w:r>
    </w:p>
    <w:tbl>
      <w:tblPr>
        <w:tblStyle w:val="Table2"/>
        <w:tblW w:w="6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216"/>
        <w:tblGridChange w:id="0">
          <w:tblGrid>
            <w:gridCol w:w="3397"/>
            <w:gridCol w:w="3216"/>
          </w:tblGrid>
        </w:tblGridChange>
      </w:tblGrid>
      <w:tr>
        <w:trPr>
          <w:cantSplit w:val="0"/>
          <w:tblHeader w:val="0"/>
        </w:trPr>
        <w:tc>
          <w:tcPr/>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33011" cy="1549151"/>
                  <wp:effectExtent b="0" l="0" r="0" t="0"/>
                  <wp:docPr id="1194406546" name="image2.jpg"/>
                  <a:graphic>
                    <a:graphicData uri="http://schemas.openxmlformats.org/drawingml/2006/picture">
                      <pic:pic>
                        <pic:nvPicPr>
                          <pic:cNvPr id="0" name="image2.jpg"/>
                          <pic:cNvPicPr preferRelativeResize="0"/>
                        </pic:nvPicPr>
                        <pic:blipFill>
                          <a:blip r:embed="rId17"/>
                          <a:srcRect b="0" l="17970" r="11648" t="0"/>
                          <a:stretch>
                            <a:fillRect/>
                          </a:stretch>
                        </pic:blipFill>
                        <pic:spPr>
                          <a:xfrm>
                            <a:off x="0" y="0"/>
                            <a:ext cx="1933011" cy="154915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A">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568731" cy="1911337"/>
                  <wp:effectExtent b="0" l="0" r="0" t="0"/>
                  <wp:docPr id="1194406545" name="image9.jpg"/>
                  <a:graphic>
                    <a:graphicData uri="http://schemas.openxmlformats.org/drawingml/2006/picture">
                      <pic:pic>
                        <pic:nvPicPr>
                          <pic:cNvPr id="0" name="image9.jpg"/>
                          <pic:cNvPicPr preferRelativeResize="0"/>
                        </pic:nvPicPr>
                        <pic:blipFill>
                          <a:blip r:embed="rId18"/>
                          <a:srcRect b="0" l="17970" r="28287" t="0"/>
                          <a:stretch>
                            <a:fillRect/>
                          </a:stretch>
                        </pic:blipFill>
                        <pic:spPr>
                          <a:xfrm rot="5400000">
                            <a:off x="0" y="0"/>
                            <a:ext cx="1568731" cy="191133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1C">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Annex 5: Students’ feedback on the survey question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survey results are also shown on each SLS package under ‘Notes for Teachers’] </w:t>
      </w:r>
    </w:p>
    <w:p w:rsidR="00000000" w:rsidDel="00000000" w:rsidP="00000000" w:rsidRDefault="00000000" w:rsidRPr="00000000" w14:paraId="0000001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 example below on ‘Which part of the mini-game did you enjoy?’ for P3 Area Interactive:</w:t>
      </w:r>
    </w:p>
    <w:tbl>
      <w:tblPr>
        <w:tblStyle w:val="Table3"/>
        <w:tblW w:w="92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0"/>
        <w:tblGridChange w:id="0">
          <w:tblGrid>
            <w:gridCol w:w="9210"/>
          </w:tblGrid>
        </w:tblGridChange>
      </w:tblGrid>
      <w:tr>
        <w:trPr>
          <w:cantSplit w:val="0"/>
          <w:trHeight w:val="1736" w:hRule="atLeast"/>
          <w:tblHeader w:val="0"/>
        </w:trPr>
        <w:tc>
          <w:tcPr/>
          <w:p w:rsidR="00000000" w:rsidDel="00000000" w:rsidP="00000000" w:rsidRDefault="00000000" w:rsidRPr="00000000" w14:paraId="0000001F">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P3 Area: </w:t>
            </w:r>
          </w:p>
          <w:p w:rsidR="00000000" w:rsidDel="00000000" w:rsidP="00000000" w:rsidRDefault="00000000" w:rsidRPr="00000000" w14:paraId="00000020">
            <w:pPr>
              <w:numPr>
                <w:ilvl w:val="0"/>
                <w:numId w:val="2"/>
              </w:numPr>
              <w:spacing w:line="276" w:lineRule="auto"/>
              <w:ind w:left="720" w:hanging="360"/>
              <w:rPr>
                <w:sz w:val="20"/>
                <w:szCs w:val="20"/>
              </w:rPr>
            </w:pPr>
            <w:r w:rsidDel="00000000" w:rsidR="00000000" w:rsidRPr="00000000">
              <w:rPr>
                <w:rFonts w:ascii="Arial" w:cs="Arial" w:eastAsia="Arial" w:hAnsi="Arial"/>
                <w:b w:val="1"/>
                <w:bCs w:val="1"/>
                <w:sz w:val="20"/>
                <w:szCs w:val="20"/>
                <w:rtl w:val="0"/>
              </w:rPr>
              <w:t xml:space="preserve">Enjoying the challenge and learning new things</w:t>
            </w:r>
            <w:r w:rsidDel="00000000" w:rsidR="00000000" w:rsidRPr="00000000">
              <w:rPr>
                <w:rFonts w:ascii="Arial" w:cs="Arial" w:eastAsia="Arial" w:hAnsi="Arial"/>
                <w:sz w:val="20"/>
                <w:szCs w:val="20"/>
                <w:rtl w:val="0"/>
              </w:rPr>
              <w:t xml:space="preserve">: Many students expressed that they found the mini-game to be challenging and tricky, but that they enjoyed the opportunity to learn new things through playing it.</w:t>
            </w:r>
          </w:p>
          <w:p w:rsidR="00000000" w:rsidDel="00000000" w:rsidP="00000000" w:rsidRDefault="00000000" w:rsidRPr="00000000" w14:paraId="00000021">
            <w:pPr>
              <w:numPr>
                <w:ilvl w:val="0"/>
                <w:numId w:val="1"/>
              </w:numPr>
              <w:spacing w:line="276" w:lineRule="auto"/>
              <w:ind w:left="720" w:hanging="360"/>
              <w:rPr>
                <w:sz w:val="20"/>
                <w:szCs w:val="20"/>
              </w:rPr>
            </w:pPr>
            <w:r w:rsidDel="00000000" w:rsidR="00000000" w:rsidRPr="00000000">
              <w:rPr>
                <w:rFonts w:ascii="Arial" w:cs="Arial" w:eastAsia="Arial" w:hAnsi="Arial"/>
                <w:b w:val="1"/>
                <w:bCs w:val="1"/>
                <w:sz w:val="20"/>
                <w:szCs w:val="20"/>
                <w:rtl w:val="0"/>
              </w:rPr>
              <w:t xml:space="preserve">Enjoying the shapes and figuring out the solutions</w:t>
            </w:r>
            <w:r w:rsidDel="00000000" w:rsidR="00000000" w:rsidRPr="00000000">
              <w:rPr>
                <w:rFonts w:ascii="Arial" w:cs="Arial" w:eastAsia="Arial" w:hAnsi="Arial"/>
                <w:sz w:val="20"/>
                <w:szCs w:val="20"/>
                <w:rtl w:val="0"/>
              </w:rPr>
              <w:t xml:space="preserve">: A number of students highlighted their enjoyment of the different shapes and figures they had to work with, as well as the process of figuring out how to solve the challenges presented.</w:t>
            </w:r>
          </w:p>
          <w:p w:rsidR="00000000" w:rsidDel="00000000" w:rsidP="00000000" w:rsidRDefault="00000000" w:rsidRPr="00000000" w14:paraId="00000022">
            <w:pPr>
              <w:numPr>
                <w:ilvl w:val="0"/>
                <w:numId w:val="3"/>
              </w:numPr>
              <w:spacing w:line="276" w:lineRule="auto"/>
              <w:ind w:left="720" w:hanging="360"/>
              <w:rPr>
                <w:sz w:val="20"/>
                <w:szCs w:val="20"/>
              </w:rPr>
            </w:pPr>
            <w:r w:rsidDel="00000000" w:rsidR="00000000" w:rsidRPr="00000000">
              <w:rPr>
                <w:rFonts w:ascii="Arial" w:cs="Arial" w:eastAsia="Arial" w:hAnsi="Arial"/>
                <w:b w:val="1"/>
                <w:bCs w:val="1"/>
                <w:sz w:val="20"/>
                <w:szCs w:val="20"/>
                <w:rtl w:val="0"/>
              </w:rPr>
              <w:t xml:space="preserve">Enjoying the overall game experience</w:t>
            </w:r>
            <w:r w:rsidDel="00000000" w:rsidR="00000000" w:rsidRPr="00000000">
              <w:rPr>
                <w:rFonts w:ascii="Arial" w:cs="Arial" w:eastAsia="Arial" w:hAnsi="Arial"/>
                <w:sz w:val="20"/>
                <w:szCs w:val="20"/>
                <w:rtl w:val="0"/>
              </w:rPr>
              <w:t xml:space="preserve">: Some students simply stated that they enjoyed the mini-game overall, finding it to be fun, simple, and a good learning experience.</w:t>
            </w:r>
          </w:p>
        </w:tc>
      </w:tr>
    </w:tbl>
    <w:p w:rsidR="00000000" w:rsidDel="00000000" w:rsidP="00000000" w:rsidRDefault="00000000" w:rsidRPr="00000000" w14:paraId="0000002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can monitor their own progress as their solutions are being made visible for their reference and consideration for their subsequent action:</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3192" w:hRule="atLeast"/>
          <w:tblHeader w:val="0"/>
        </w:trPr>
        <w:tc>
          <w:tcPr/>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38277" cy="2209308"/>
                  <wp:effectExtent b="0" l="0" r="0" t="0"/>
                  <wp:docPr id="119440654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1938277" cy="220930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Arial" w:cs="Arial" w:eastAsia="Arial" w:hAnsi="Arial"/>
                <w:sz w:val="20"/>
                <w:szCs w:val="20"/>
              </w:rPr>
            </w:pPr>
            <w:r w:rsidDel="00000000" w:rsidR="00000000" w:rsidRPr="00000000">
              <w:rPr>
                <w:rFonts w:ascii="Arial" w:cs="Arial" w:eastAsia="Arial" w:hAnsi="Arial"/>
                <w:sz w:val="20"/>
                <w:szCs w:val="20"/>
                <w:rtl w:val="0"/>
              </w:rPr>
              <w:t xml:space="preserve">P3 Area</w:t>
            </w:r>
          </w:p>
        </w:tc>
        <w:tc>
          <w:tcPr/>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628813" cy="2183573"/>
                  <wp:effectExtent b="0" l="0" r="0" t="0"/>
                  <wp:docPr id="1194406547"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628813" cy="218357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Arial" w:cs="Arial" w:eastAsia="Arial" w:hAnsi="Arial"/>
                <w:sz w:val="20"/>
                <w:szCs w:val="20"/>
              </w:rPr>
            </w:pPr>
            <w:r w:rsidDel="00000000" w:rsidR="00000000" w:rsidRPr="00000000">
              <w:rPr>
                <w:rFonts w:ascii="Arial" w:cs="Arial" w:eastAsia="Arial" w:hAnsi="Arial"/>
                <w:sz w:val="20"/>
                <w:szCs w:val="20"/>
                <w:rtl w:val="0"/>
              </w:rPr>
              <w:t xml:space="preserve">P4 Nets</w:t>
            </w:r>
          </w:p>
        </w:tc>
      </w:tr>
    </w:tbl>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ITT questions are included to prompt students’ thinking:</w:t>
      </w:r>
      <w:r w:rsidDel="00000000" w:rsidR="00000000" w:rsidRPr="00000000">
        <w:drawing>
          <wp:anchor allowOverlap="1" behindDoc="0" distB="0" distT="0" distL="114300" distR="114300" hidden="0" layoutInCell="1" locked="0" relativeHeight="0" simplePos="0">
            <wp:simplePos x="0" y="0"/>
            <wp:positionH relativeFrom="column">
              <wp:posOffset>3328087</wp:posOffset>
            </wp:positionH>
            <wp:positionV relativeFrom="paragraph">
              <wp:posOffset>5030</wp:posOffset>
            </wp:positionV>
            <wp:extent cx="2365595" cy="1692373"/>
            <wp:effectExtent b="0" l="0" r="0" t="0"/>
            <wp:wrapNone/>
            <wp:docPr id="1194406552" name="image10.png"/>
            <a:graphic>
              <a:graphicData uri="http://schemas.openxmlformats.org/drawingml/2006/picture">
                <pic:pic>
                  <pic:nvPicPr>
                    <pic:cNvPr id="0" name="image10.png"/>
                    <pic:cNvPicPr preferRelativeResize="0"/>
                  </pic:nvPicPr>
                  <pic:blipFill>
                    <a:blip r:embed="rId21"/>
                    <a:srcRect b="56167" l="0" r="0" t="0"/>
                    <a:stretch>
                      <a:fillRect/>
                    </a:stretch>
                  </pic:blipFill>
                  <pic:spPr>
                    <a:xfrm>
                      <a:off x="0" y="0"/>
                      <a:ext cx="2365595" cy="1692373"/>
                    </a:xfrm>
                    <a:prstGeom prst="rect"/>
                    <a:ln/>
                  </pic:spPr>
                </pic:pic>
              </a:graphicData>
            </a:graphic>
          </wp:anchor>
        </w:drawing>
      </w:r>
    </w:p>
    <w:p w:rsidR="00000000" w:rsidDel="00000000" w:rsidP="00000000" w:rsidRDefault="00000000" w:rsidRPr="00000000" w14:paraId="0000002B">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e.g. for P2 length: </w:t>
      </w:r>
    </w:p>
    <w:p w:rsidR="00000000" w:rsidDel="00000000" w:rsidP="00000000" w:rsidRDefault="00000000" w:rsidRPr="00000000" w14:paraId="0000002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you use any method to find the shortest path quickly?</w:t>
      </w:r>
    </w:p>
    <w:p w:rsidR="00000000" w:rsidDel="00000000" w:rsidP="00000000" w:rsidRDefault="00000000" w:rsidRPr="00000000" w14:paraId="0000002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you change your method? </w:t>
      </w:r>
    </w:p>
    <w:p w:rsidR="00000000" w:rsidDel="00000000" w:rsidP="00000000" w:rsidRDefault="00000000" w:rsidRPr="00000000" w14:paraId="0000002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Why did you change your method? </w:t>
      </w:r>
    </w:p>
    <w:p w:rsidR="00000000" w:rsidDel="00000000" w:rsidP="00000000" w:rsidRDefault="00000000" w:rsidRPr="00000000" w14:paraId="0000002F">
      <w:pP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30">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e.g. For Nets: </w:t>
      </w:r>
    </w:p>
    <w:p w:rsidR="00000000" w:rsidDel="00000000" w:rsidP="00000000" w:rsidRDefault="00000000" w:rsidRPr="00000000" w14:paraId="0000003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is there any method you used to find all the possible nets?</w:t>
      </w:r>
    </w:p>
    <w:p w:rsidR="00000000" w:rsidDel="00000000" w:rsidP="00000000" w:rsidRDefault="00000000" w:rsidRPr="00000000" w14:paraId="0000003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Sample of students’ responses below:</w:t>
      </w:r>
    </w:p>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731176" cy="1932509"/>
            <wp:effectExtent b="0" l="0" r="0" t="0"/>
            <wp:docPr id="1194406549" name="image3.jpg"/>
            <a:graphic>
              <a:graphicData uri="http://schemas.openxmlformats.org/drawingml/2006/picture">
                <pic:pic>
                  <pic:nvPicPr>
                    <pic:cNvPr id="0" name="image3.jpg"/>
                    <pic:cNvPicPr preferRelativeResize="0"/>
                  </pic:nvPicPr>
                  <pic:blipFill>
                    <a:blip r:embed="rId22"/>
                    <a:srcRect b="0" l="357" r="357" t="0"/>
                    <a:stretch>
                      <a:fillRect/>
                    </a:stretch>
                  </pic:blipFill>
                  <pic:spPr>
                    <a:xfrm>
                      <a:off x="0" y="0"/>
                      <a:ext cx="5731176" cy="193250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Annex 6: Using Data Assistance to analyse students’ responses according to themes:</w:t>
      </w:r>
    </w:p>
    <w:p w:rsidR="00000000" w:rsidDel="00000000" w:rsidP="00000000" w:rsidRDefault="00000000" w:rsidRPr="00000000" w14:paraId="00000036">
      <w:pPr>
        <w:rPr>
          <w:rFonts w:ascii="Arial" w:cs="Arial" w:eastAsia="Arial" w:hAnsi="Arial"/>
          <w:sz w:val="20"/>
          <w:szCs w:val="20"/>
          <w:u w:val="single"/>
        </w:rPr>
      </w:pPr>
      <w:r w:rsidDel="00000000" w:rsidR="00000000" w:rsidRPr="00000000">
        <w:rPr>
          <w:rFonts w:ascii="Arial" w:cs="Arial" w:eastAsia="Arial" w:hAnsi="Arial"/>
          <w:sz w:val="20"/>
          <w:szCs w:val="20"/>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959225" cy="2015490"/>
            <wp:effectExtent b="0" l="0" r="0" t="0"/>
            <wp:wrapSquare wrapText="bothSides" distB="0" distT="0" distL="114300" distR="114300"/>
            <wp:docPr id="1194406541" name="image5.jpg"/>
            <a:graphic>
              <a:graphicData uri="http://schemas.openxmlformats.org/drawingml/2006/picture">
                <pic:pic>
                  <pic:nvPicPr>
                    <pic:cNvPr id="0" name="image5.jpg"/>
                    <pic:cNvPicPr preferRelativeResize="0"/>
                  </pic:nvPicPr>
                  <pic:blipFill>
                    <a:blip r:embed="rId23"/>
                    <a:srcRect b="406" l="0" r="0" t="406"/>
                    <a:stretch>
                      <a:fillRect/>
                    </a:stretch>
                  </pic:blipFill>
                  <pic:spPr>
                    <a:xfrm>
                      <a:off x="0" y="0"/>
                      <a:ext cx="3959225" cy="2015490"/>
                    </a:xfrm>
                    <a:prstGeom prst="rect"/>
                    <a:ln/>
                  </pic:spPr>
                </pic:pic>
              </a:graphicData>
            </a:graphic>
          </wp:anchor>
        </w:drawing>
      </w:r>
    </w:p>
    <w:p w:rsidR="00000000" w:rsidDel="00000000" w:rsidP="00000000" w:rsidRDefault="00000000" w:rsidRPr="00000000" w14:paraId="00000037">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Interactive Data captured </w:t>
      </w:r>
      <w:r w:rsidDel="00000000" w:rsidR="00000000" w:rsidRPr="00000000">
        <w:rPr>
          <w:rFonts w:ascii="Arial" w:cs="Arial" w:eastAsia="Arial" w:hAnsi="Arial"/>
          <w:sz w:val="20"/>
          <w:szCs w:val="20"/>
          <w:u w:val="single"/>
          <w:rtl w:val="0"/>
        </w:rPr>
        <w:t xml:space="preserve">using SLS’s xAPI as Teacher Comments stored in SLS, for a holistic data record store of student’s learning </w:t>
      </w:r>
    </w:p>
    <w:tbl>
      <w:tblPr>
        <w:tblStyle w:val="Table5"/>
        <w:tblW w:w="63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3131"/>
        <w:tblGridChange w:id="0">
          <w:tblGrid>
            <w:gridCol w:w="3256"/>
            <w:gridCol w:w="3131"/>
          </w:tblGrid>
        </w:tblGridChange>
      </w:tblGrid>
      <w:tr>
        <w:trPr>
          <w:cantSplit w:val="0"/>
          <w:trHeight w:val="3098" w:hRule="atLeast"/>
          <w:tblHeader w:val="0"/>
        </w:trPr>
        <w:tc>
          <w:tcPr/>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473471" cy="1910431"/>
                  <wp:effectExtent b="0" l="0" r="0" t="0"/>
                  <wp:docPr id="1194406550" name="image12.png"/>
                  <a:graphic>
                    <a:graphicData uri="http://schemas.openxmlformats.org/drawingml/2006/picture">
                      <pic:pic>
                        <pic:nvPicPr>
                          <pic:cNvPr id="0" name="image12.png"/>
                          <pic:cNvPicPr preferRelativeResize="0"/>
                        </pic:nvPicPr>
                        <pic:blipFill>
                          <a:blip r:embed="rId24"/>
                          <a:srcRect b="0" l="0" r="49937" t="0"/>
                          <a:stretch>
                            <a:fillRect/>
                          </a:stretch>
                        </pic:blipFill>
                        <pic:spPr>
                          <a:xfrm>
                            <a:off x="0" y="0"/>
                            <a:ext cx="1473471" cy="19104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575089" cy="1910431"/>
                  <wp:effectExtent b="0" l="0" r="0" t="0"/>
                  <wp:docPr id="1194406551" name="image8.png"/>
                  <a:graphic>
                    <a:graphicData uri="http://schemas.openxmlformats.org/drawingml/2006/picture">
                      <pic:pic>
                        <pic:nvPicPr>
                          <pic:cNvPr id="0" name="image8.png"/>
                          <pic:cNvPicPr preferRelativeResize="0"/>
                        </pic:nvPicPr>
                        <pic:blipFill>
                          <a:blip r:embed="rId25"/>
                          <a:srcRect b="0" l="0" r="47571" t="0"/>
                          <a:stretch>
                            <a:fillRect/>
                          </a:stretch>
                        </pic:blipFill>
                        <pic:spPr>
                          <a:xfrm>
                            <a:off x="0" y="0"/>
                            <a:ext cx="1575089" cy="19104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Annex 7: Using AI tools to analyse students’ activity interactive data: </w:t>
      </w:r>
    </w:p>
    <w:p w:rsidR="00000000" w:rsidDel="00000000" w:rsidP="00000000" w:rsidRDefault="00000000" w:rsidRPr="00000000" w14:paraId="0000003C">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Metacognition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 example on the analysis by AI tool on Metacognitive Knowledge is shown below):</w:t>
      </w:r>
    </w:p>
    <w:p w:rsidR="00000000" w:rsidDel="00000000" w:rsidP="00000000" w:rsidRDefault="00000000" w:rsidRPr="00000000" w14:paraId="0000003E">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Metacognitive Knowledge</w:t>
      </w:r>
      <w:r w:rsidDel="00000000" w:rsidR="00000000" w:rsidRPr="00000000">
        <w:rPr>
          <w:rtl w:val="0"/>
        </w:rPr>
      </w:r>
    </w:p>
    <w:p w:rsidR="00000000" w:rsidDel="00000000" w:rsidP="00000000" w:rsidRDefault="00000000" w:rsidRPr="00000000" w14:paraId="0000003F">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Declarative Knowledge (knowing what): </w:t>
      </w:r>
      <w:r w:rsidDel="00000000" w:rsidR="00000000" w:rsidRPr="00000000">
        <w:rPr>
          <w:rFonts w:ascii="Arial" w:cs="Arial" w:eastAsia="Arial" w:hAnsi="Arial"/>
          <w:sz w:val="20"/>
          <w:szCs w:val="20"/>
          <w:rtl w:val="0"/>
        </w:rPr>
        <w:t xml:space="preserve">He demonstrates strong awareness of the task requirements, consistently selecting 6 grids in most attempts and understanding that certain grid combinations lead to completion. His knowledge appears robust given the high success rate (16/22 completed attempts, 73%).</w:t>
      </w:r>
    </w:p>
    <w:p w:rsidR="00000000" w:rsidDel="00000000" w:rsidP="00000000" w:rsidRDefault="00000000" w:rsidRPr="00000000" w14:paraId="00000040">
      <w:pPr>
        <w:spacing w:after="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Procedural Knowledge (knowing how): </w:t>
      </w:r>
      <w:r w:rsidDel="00000000" w:rsidR="00000000" w:rsidRPr="00000000">
        <w:rPr>
          <w:rFonts w:ascii="Arial" w:cs="Arial" w:eastAsia="Arial" w:hAnsi="Arial"/>
          <w:sz w:val="20"/>
          <w:szCs w:val="20"/>
          <w:rtl w:val="0"/>
        </w:rPr>
        <w:t xml:space="preserve">The data shows evolving procedural strategies. Early attempts show rapid execution (4-56 seconds), suggesting either intuitive approaches or well-rehearsed procedures. Grid 13 appears in 18 of 22 attempts, indicating he has identified it as a key strategic element.</w:t>
      </w:r>
    </w:p>
    <w:p w:rsidR="00000000" w:rsidDel="00000000" w:rsidP="00000000" w:rsidRDefault="00000000" w:rsidRPr="00000000" w14:paraId="00000041">
      <w:pPr>
        <w:spacing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Conditional Knowledge (knowing when and why): </w:t>
      </w:r>
      <w:r w:rsidDel="00000000" w:rsidR="00000000" w:rsidRPr="00000000">
        <w:rPr>
          <w:rFonts w:ascii="Arial" w:cs="Arial" w:eastAsia="Arial" w:hAnsi="Arial"/>
          <w:sz w:val="20"/>
          <w:szCs w:val="20"/>
          <w:rtl w:val="0"/>
        </w:rPr>
        <w:t xml:space="preserve">This appears less developed. The pattern of failed attempts (8, 13, 14, 15, 18, 20) clustered around the middle phase suggests uncertainty about when to apply different strategies or modify approaches.</w:t>
      </w:r>
    </w:p>
    <w:p w:rsidR="00000000" w:rsidDel="00000000" w:rsidP="00000000" w:rsidRDefault="00000000" w:rsidRPr="00000000" w14:paraId="00000042">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E21CC Critical, Adaptive and inventive thinking</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 example of an analysis on Critical Thinking skill is shown below):</w:t>
      </w:r>
    </w:p>
    <w:p w:rsidR="00000000" w:rsidDel="00000000" w:rsidP="00000000" w:rsidRDefault="00000000" w:rsidRPr="00000000" w14:paraId="00000044">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Critical Thinking Skills</w:t>
      </w: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CAIT 1 (Sound reasoning and decision-making): </w:t>
      </w:r>
      <w:r w:rsidDel="00000000" w:rsidR="00000000" w:rsidRPr="00000000">
        <w:rPr>
          <w:rFonts w:ascii="Arial" w:cs="Arial" w:eastAsia="Arial" w:hAnsi="Arial"/>
          <w:sz w:val="20"/>
          <w:szCs w:val="20"/>
          <w:rtl w:val="0"/>
        </w:rPr>
        <w:t xml:space="preserve">demonstrates strong reasoning abilities. His high success rate (16/22 completed attempts, 73%) suggests he can effectively analyse the grid patterns and make sound decisions about which grids to select. The variety in his grid selections across attempts shows he's not randomly guessing but applying logical reasoning.</w:t>
      </w:r>
    </w:p>
    <w:p w:rsidR="00000000" w:rsidDel="00000000" w:rsidP="00000000" w:rsidRDefault="00000000" w:rsidRPr="00000000" w14:paraId="00000046">
      <w:pPr>
        <w:spacing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CAIT 2 (Metacognition):</w:t>
      </w:r>
      <w:r w:rsidDel="00000000" w:rsidR="00000000" w:rsidRPr="00000000">
        <w:rPr>
          <w:rFonts w:ascii="Arial" w:cs="Arial" w:eastAsia="Arial" w:hAnsi="Arial"/>
          <w:sz w:val="20"/>
          <w:szCs w:val="20"/>
          <w:rtl w:val="0"/>
        </w:rPr>
        <w:t xml:space="preserve"> There's clear evidence of metacognitive thinking. After failed attempts (8, 13, 14, 15, 18, 20), he consistently returns with successful strategies in subsequent attempts. This pattern suggests he's reflecting on what went wrong and adjusting his approach accordingly.</w:t>
      </w:r>
    </w:p>
    <w:sectPr>
      <w:headerReference r:id="rId26" w:type="default"/>
      <w:footerReference r:id="rId27" w:type="default"/>
      <w:pgSz w:h="16838" w:w="11906" w:orient="portrait"/>
      <w:pgMar w:bottom="144" w:top="431.99999999999994"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bCs w:val="0"/>
        <w:i w:val="0"/>
        <w:iCs w:val="0"/>
        <w:smallCaps w:val="0"/>
        <w:strike w:val="0"/>
        <w:color w:val="000000"/>
        <w:sz w:val="16"/>
        <w:szCs w:val="16"/>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6"/>
        <w:szCs w:val="16"/>
        <w:u w:val="none"/>
        <w:shd w:fill="auto" w:val="clear"/>
        <w:vertAlign w:val="baseline"/>
        <w:rtl w:val="0"/>
      </w:rPr>
      <w:t xml:space="preserve">Submission for Innergy: Mathematics Interactives for Metacognitive Growth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SG"/>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326B1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26B1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26B1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26B1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26B1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26B1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26B1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26B1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26B1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26B1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26B1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26B1C"/>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26B1C"/>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26B1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26B1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26B1C"/>
    <w:rPr>
      <w:i w:val="1"/>
      <w:iCs w:val="1"/>
      <w:color w:val="404040" w:themeColor="text1" w:themeTint="0000BF"/>
    </w:rPr>
  </w:style>
  <w:style w:type="paragraph" w:styleId="ListParagraph">
    <w:name w:val="List Paragraph"/>
    <w:basedOn w:val="Normal"/>
    <w:uiPriority w:val="34"/>
    <w:qFormat w:val="1"/>
    <w:rsid w:val="00326B1C"/>
    <w:pPr>
      <w:ind w:left="720"/>
      <w:contextualSpacing w:val="1"/>
    </w:pPr>
  </w:style>
  <w:style w:type="character" w:styleId="IntenseEmphasis">
    <w:name w:val="Intense Emphasis"/>
    <w:basedOn w:val="DefaultParagraphFont"/>
    <w:uiPriority w:val="21"/>
    <w:qFormat w:val="1"/>
    <w:rsid w:val="00326B1C"/>
    <w:rPr>
      <w:i w:val="1"/>
      <w:iCs w:val="1"/>
      <w:color w:val="0f4761" w:themeColor="accent1" w:themeShade="0000BF"/>
    </w:rPr>
  </w:style>
  <w:style w:type="paragraph" w:styleId="IntenseQuote">
    <w:name w:val="Intense Quote"/>
    <w:basedOn w:val="Normal"/>
    <w:next w:val="Normal"/>
    <w:link w:val="IntenseQuoteChar"/>
    <w:uiPriority w:val="30"/>
    <w:qFormat w:val="1"/>
    <w:rsid w:val="00326B1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26B1C"/>
    <w:rPr>
      <w:i w:val="1"/>
      <w:iCs w:val="1"/>
      <w:color w:val="0f4761" w:themeColor="accent1" w:themeShade="0000BF"/>
    </w:rPr>
  </w:style>
  <w:style w:type="character" w:styleId="IntenseReference">
    <w:name w:val="Intense Reference"/>
    <w:basedOn w:val="DefaultParagraphFont"/>
    <w:uiPriority w:val="32"/>
    <w:qFormat w:val="1"/>
    <w:rsid w:val="00326B1C"/>
    <w:rPr>
      <w:b w:val="1"/>
      <w:bCs w:val="1"/>
      <w:smallCaps w:val="1"/>
      <w:color w:val="0f4761" w:themeColor="accent1" w:themeShade="0000BF"/>
      <w:spacing w:val="5"/>
    </w:rPr>
  </w:style>
  <w:style w:type="character" w:styleId="Hyperlink">
    <w:name w:val="Hyperlink"/>
    <w:basedOn w:val="DefaultParagraphFont"/>
    <w:uiPriority w:val="99"/>
    <w:unhideWhenUsed w:val="1"/>
    <w:rsid w:val="00326B1C"/>
    <w:rPr>
      <w:color w:val="467886" w:themeColor="hyperlink"/>
      <w:u w:val="single"/>
    </w:rPr>
  </w:style>
  <w:style w:type="table" w:styleId="TableGrid">
    <w:name w:val="Table Grid"/>
    <w:basedOn w:val="TableNormal"/>
    <w:uiPriority w:val="39"/>
    <w:rsid w:val="00326B1C"/>
    <w:pPr>
      <w:spacing w:after="0" w:line="240" w:lineRule="auto"/>
    </w:pPr>
    <w:rPr>
      <w:rFonts w:eastAsiaTheme="minorEastAsia"/>
      <w:lang w:eastAsia="zh-CN"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326B1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6B1C"/>
  </w:style>
  <w:style w:type="paragraph" w:styleId="Footer">
    <w:name w:val="footer"/>
    <w:basedOn w:val="Normal"/>
    <w:link w:val="FooterChar"/>
    <w:uiPriority w:val="99"/>
    <w:unhideWhenUsed w:val="1"/>
    <w:rsid w:val="00326B1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6B1C"/>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3.jpg"/><Relationship Id="rId21" Type="http://schemas.openxmlformats.org/officeDocument/2006/relationships/image" Target="media/image10.png"/><Relationship Id="rId24" Type="http://schemas.openxmlformats.org/officeDocument/2006/relationships/image" Target="media/image12.pn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gov.sg/primath-p2length" TargetMode="External"/><Relationship Id="rId26" Type="http://schemas.openxmlformats.org/officeDocument/2006/relationships/header" Target="header1.xml"/><Relationship Id="rId25" Type="http://schemas.openxmlformats.org/officeDocument/2006/relationships/image" Target="media/image8.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o.gov.sg/primath-p2volume" TargetMode="External"/><Relationship Id="rId8" Type="http://schemas.openxmlformats.org/officeDocument/2006/relationships/hyperlink" Target="https://go.gov.sg/primath-p2multipyanddivide" TargetMode="External"/><Relationship Id="rId11" Type="http://schemas.openxmlformats.org/officeDocument/2006/relationships/hyperlink" Target="https://go.gov.sg/primath-p4netsofcube" TargetMode="External"/><Relationship Id="rId10" Type="http://schemas.openxmlformats.org/officeDocument/2006/relationships/hyperlink" Target="https://go.gov.sg/p3-area" TargetMode="External"/><Relationship Id="rId13" Type="http://schemas.openxmlformats.org/officeDocument/2006/relationships/hyperlink" Target="https://go.gov.sg/primath-p4linesymmetryshading" TargetMode="External"/><Relationship Id="rId12" Type="http://schemas.openxmlformats.org/officeDocument/2006/relationships/hyperlink" Target="https://go.gov.sg/primath-p4linesymmetry"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2.jpg"/><Relationship Id="rId16" Type="http://schemas.openxmlformats.org/officeDocument/2006/relationships/image" Target="media/image11.jpg"/><Relationship Id="rId19" Type="http://schemas.openxmlformats.org/officeDocument/2006/relationships/image" Target="media/image4.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FGgujgtXlXWe5biHE2FUCZl7Q==">CgMxLjA4AHIhMXFyM3M3bGN5cXhPNUJTVzBFdU1aaUtrLWJLRkhWVmhH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2026-03-04T02:27:00Z</dcterms:created>
  <dc:creator>Mei Yoke LOH (MOE)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2026-02-27T06:29:52Z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c46c3cc4-4e40-4ccf-b4ad-9dfd9b1bbf89</vt:lpwstr>
  </property>
  <property fmtid="{D5CDD505-2E9C-101B-9397-08002B2CF9AE}" pid="8" name="MSIP_Label_770f46e1-5fba-47ae-991f-a0785d9c0dac_ContentBits">
    <vt:lpwstr>0</vt:lpwstr>
  </property>
  <property fmtid="{D5CDD505-2E9C-101B-9397-08002B2CF9AE}" pid="9" name="MSIP_Label_770f46e1-5fba-47ae-991f-a0785d9c0dac_Tag">
    <vt:lpwstr>10, 0, 1, 1</vt:lpwstr>
  </property>
</Properties>
</file>