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A8C8E8"/>
                <w:sz w:val="20"/>
                <w:szCs w:val="20"/>
              </w:rPr>
              <w:t xml:space="preserve">LESSON PLAN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 xml:space="preserve">Riding the Lift: Forces in Motion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8C8E8"/>
                <w:sz w:val="22"/>
                <w:szCs w:val="22"/>
              </w:rPr>
              <w:t xml:space="preserve">Phyphox Group Investigation  |  Newton’s Second Law Applied to a Real Lift</w:t>
            </w:r>
          </w:p>
        </w:tc>
      </w:tr>
    </w:tbl>
    <w:p>
      <w:pPr>
        <w:spacing w:after="0" w:before="14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090"/>
      </w:tblGrid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Subject / Level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H2 Physics  |  JC1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Topic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Dynamics — Newton’s Laws of Motion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Duration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2 × 50-minute periods  (Period 1: pre-lab + field activity;  Period 2: analysis + debrief)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Class size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Up to 32 students in groups of 4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Venue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Period 1: Physics Lab then school lift lobby;   Period 2: Physics Lab / classroom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Prior knowledge required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Newton’s First and Second Laws, free body diagrams, concept of normal contact force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Prepared by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___________________________________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Date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___________________________________</w:t>
            </w:r>
          </w:p>
        </w:tc>
      </w:tr>
    </w:tbl>
    <w:p>
      <w:pPr>
        <w:spacing w:after="0" w:before="14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Learning Outcomes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By the end of this investigation, students should be able to:</w:t>
      </w:r>
    </w:p>
    <w:p>
      <w:pPr>
        <w:spacing w:after="0" w:before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Apply Fₙₑₜ = ma to analyse forces on a person in an accelerating lift (N = m(g + a))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Interpret altitude, velocity, and acceleration–time graphs generated by Phyphox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Explain qualitatively and quantitatively how the normal contact force varies during each phase of lift motion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Relate slow-motion video evidence of a weighing scale to Newton’s Second Law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Evaluate experimental limitations and suggest improvements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Collaborate effectively by fulfilling assigned group roles</w:t>
      </w:r>
    </w:p>
    <w:p>
      <w:pPr>
        <w:spacing w:after="0" w:before="14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B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Curriculum Alignment  (MOE H2 Physics Syllabus 9749)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090"/>
      </w:tblGrid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Content reference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Section 3: Dynamics — Newton’s laws of motion; free body diagrams; mass and weight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Skills assessed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Planning, analysis &amp; evaluation, communication (Sections 1 &amp; 2 of the syllabus)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21CC links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Critical and inventive thinking; collaborative learning; use of technology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9"/>
                <w:szCs w:val="19"/>
              </w:rPr>
              <w:t xml:space="preserve">Assessment mode</w:t>
            </w:r>
          </w:p>
        </w:tc>
        <w:tc>
          <w:tcPr>
            <w:tcW w:type="dxa" w:w="70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Formative (group discussion + written responses on handout)</w:t>
            </w:r>
          </w:p>
        </w:tc>
      </w:tr>
    </w:tbl>
    <w:p>
      <w:pPr>
        <w:spacing w:after="0" w:before="14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Resources &amp; Pre-lesson Preparation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45"/>
        <w:gridCol w:w="4945"/>
      </w:tblGrid>
      <w:tr>
        <w:tc>
          <w:tcPr>
            <w:tcW w:type="dxa" w:w="4945"/>
            <w:tcBorders>
              <w:top w:val="none"/>
              <w:left w:val="none"/>
              <w:bottom w:val="none"/>
              <w:right w:val="single" w:color="BBBBBB" w:sz="2"/>
            </w:tcBorders>
            <w:tcMar>
              <w:top w:type="dxa" w:w="60"/>
              <w:left w:type="dxa" w:w="0"/>
              <w:bottom w:type="dxa" w:w="6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Per group of 4 students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2 smartphones (Phyphox + slow-motion camera)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1 digital bathroom weighing scale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Non-slip mat for under the scale (optional)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Group handout (1 copy per group)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Pen / pencil</w:t>
            </w:r>
          </w:p>
        </w:tc>
        <w:tc>
          <w:tcPr>
            <w:tcW w:type="dxa" w:w="4945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40"/>
              <w:bottom w:type="dxa" w:w="60"/>
              <w:right w:type="dxa" w:w="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Teacher preparation (1 week before)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Obtain permission from school facilities / admin for lift use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Conduct a trial run: verify Phyphox ‘Elevator’ works in your lift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Check lift travel time: L1–L12 should be approximately 45–60 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Arrange for a teacher aide or discipline master to accompany groups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Ensure all students have Phyphox installed before the lesson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Prepare a worked example on Slides for the debrief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B8860B" w:sz="5"/>
              <w:left w:val="single" w:color="B8860B" w:sz="5"/>
              <w:bottom w:val="single" w:color="B8860B" w:sz="5"/>
              <w:right w:val="single" w:color="B8860B" w:sz="5"/>
            </w:tcBorders>
            <w:shd w:fill="FFFBE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⚠  Logistics Note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Send only one group to the lift at a time to minimise disruption to building users. A roster of 10-minute slots works well if you have 8 groups. Consider staggering the field activity over two lessons or using a buddy-teacher system.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If your school lift does not travel to Level 12, adapt the handout to the actual highest accessible floor (minimum 8 floors recommended for sufficient data resolution).</w:t>
            </w:r>
          </w:p>
        </w:tc>
      </w:tr>
    </w:tbl>
    <w:p>
      <w:pPr>
        <w:spacing w:after="0" w:before="0"/>
      </w:pPr>
      <w:r>
        <w:br w:type="pag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D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Lesson Timeline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D6A72"/>
          <w:sz w:val="20"/>
          <w:szCs w:val="20"/>
        </w:rPr>
        <w:t xml:space="preserve">PERIOD 1  (50 min)  —  Pre-lab Briefing + Field Activity</w:t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3700"/>
        <w:gridCol w:w="3490"/>
      </w:tblGrid>
      <w:tr>
        <w:trPr>
          <w:tblHeader/>
        </w:trPr>
        <w:tc>
          <w:tcPr>
            <w:tcW w:type="dxa" w:w="9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37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Teacher Actions</w:t>
            </w:r>
          </w:p>
        </w:tc>
        <w:tc>
          <w:tcPr>
            <w:tcW w:type="dxa" w:w="349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Student Activity / Look-fors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0–5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Set-up &amp; Roles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Distribute handout. Assign group roles (Phyphox Operator, Camera Operator, Scale Person, Recorder). Confirm Phyphox is installed on phones.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self-assign roles and fill in names on Page 1 of handout.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5–12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Theory Hook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Ask: “You step onto a scale in a lift. The lift accelerates upward. Does the scale read more or less? Why?” Take 2–3 responses. Do NOT reveal answer yet.
Briefly walk through Section A of handout (N = m(g+a)) — no more than 5 minutes of teacher talk.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discuss in pairs. Likely responses: ‘more’ (correct) or ‘same’ (misconception to address later).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12–18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Procedure Briefing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Walk through Section B of handout step by step. Demonstrate how to start Phyphox Elevator and slow-motion mode on a phone in front of class. Stress safety rules and countdown synchronisation.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Phyphox Operators and Camera Operators practise starting/stopping the respective apps on their phones.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18–45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Field Activity
(Lift)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Send groups to the lift lobby one at a time on a ~10-min roster. Remain with the class while a co-supervisor or SH accompanies each group.
Tips:
• Remind groups: stay still, no handrail, countdown before recording
• Check in with returning groups to flag any recording issues immediately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conduct the lift journey (L1 → L12 → L1), collect Phyphox CSV and slow-motion video. Recorder notes any observations on the handout.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45–50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Data Check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As groups return, circulate and verify each group has: (1) a complete Phyphox altitude graph with a visible plateau, (2) usable slow-motion footage of the scale. Flag groups needing a re-run before Period 2.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Groups begin filling in the phase table (Part C) while waiting for others to return.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D6A72"/>
          <w:sz w:val="20"/>
          <w:szCs w:val="20"/>
        </w:rPr>
        <w:t xml:space="preserve">PERIOD 2  (50 min)  —  Data Analysis + Debrief</w:t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800"/>
        <w:gridCol w:w="3700"/>
        <w:gridCol w:w="3490"/>
      </w:tblGrid>
      <w:tr>
        <w:trPr>
          <w:tblHeader/>
        </w:trPr>
        <w:tc>
          <w:tcPr>
            <w:tcW w:type="dxa" w:w="9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37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Teacher Actions</w:t>
            </w:r>
          </w:p>
        </w:tc>
        <w:tc>
          <w:tcPr>
            <w:tcW w:type="dxa" w:w="349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Student Activity / Look-fors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0–10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Individual Graph Work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Direct groups to complete the phase annotation table (Part C) and Q1–Q4 using their Phyphox export. Circulate to check graph interpretation; prompt with “What is the gradient of the v-t graph telling you?”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Groups analyse graphs. Common sticking point: reading acceleration from the noisy z-accelerometer vs. the smoother barometer-derived data.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10–22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Scale Data Analysis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Direct groups to Part D. Guide the calculation in Q5 explicitly — write N = m(g + a) on the board and prompt students to substitute their Phyphox acceleration value.
Circulate: check that students are dividing scale reading (kg) × 10 to get N, not stopping at kg.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Groups complete the scale data table and calculation. Recorder compiles group answers.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22–35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Discussion &amp; FBDs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Direct groups to Part E. Allow ~8 min for Q7 (free body diagrams) — this is a key exam skill. After groups attempt Q7, project a model FBD on the visualiser and cold-call one group to explain.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Groups draw FBDs and discuss Q8 (the ‘why do you feel heavier’ question). Recorder drafts the group’s consensus explanation.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35–44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Whole-class Debrief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Cold-call two groups to share answers to Q9 (free fall — weightlessness) and Q10 (limitations). Address the free-fall question carefully: emphasise that N = 0 does not mean gravity has disappeared — weight still acts on the person.
Refer to the common misconceptions table on Page 4 of this lesson plan.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listen, compare with their own answers, and self-correct. Encourage students to annotate their handouts in a different colour pen.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44–50 min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FF3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Wrap-up &amp; Exit Ticket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Pose exit ticket verbally: “A lift decelerates as it approaches the ground floor. Draw a FBD and state whether N &gt; W, N = W, or N &lt; W.” Collect handouts OR photograph a completed page per group for formative assessment.</w:t>
            </w:r>
          </w:p>
        </w:tc>
        <w:tc>
          <w:tcPr>
            <w:tcW w:type="dxa" w:w="34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complete exit ticket individually on a slip of paper or on the back of the handout.</w:t>
            </w:r>
          </w:p>
        </w:tc>
      </w:tr>
    </w:tbl>
    <w:p>
      <w:pPr>
        <w:spacing w:after="0" w:before="0"/>
      </w:pPr>
      <w:r>
        <w:br w:type="pag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D6A72" w:sz="5"/>
              <w:left w:val="single" w:color="1D6A72" w:sz="5"/>
              <w:bottom w:val="single" w:color="1D6A72" w:sz="5"/>
              <w:right w:val="single" w:color="1D6A72" w:sz="5"/>
            </w:tcBorders>
            <w:shd w:fill="1D6A72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E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Model Answers &amp; Common Misconceptions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Use the table below during the debrief and when marking completed handouts.</w:t>
      </w:r>
    </w:p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400"/>
        <w:gridCol w:w="4790"/>
      </w:tblGrid>
      <w:tr>
        <w:trPr>
          <w:tblHeader/>
        </w:trPr>
        <w:tc>
          <w:tcPr>
            <w:tcW w:type="dxa" w:w="700"/>
            <w:tcBorders>
              <w:top w:val="single" w:color="1D6A72" w:sz="1"/>
              <w:left w:val="single" w:color="1D6A72" w:sz="1"/>
              <w:bottom w:val="single" w:color="1D6A72" w:sz="1"/>
              <w:right w:val="single" w:color="1D6A72" w:sz="1"/>
            </w:tcBorders>
            <w:shd w:fill="1D6A7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</w:t>
            </w:r>
          </w:p>
        </w:tc>
        <w:tc>
          <w:tcPr>
            <w:tcW w:type="dxa" w:w="4400"/>
            <w:tcBorders>
              <w:top w:val="single" w:color="1D6A72" w:sz="1"/>
              <w:left w:val="single" w:color="1D6A72" w:sz="1"/>
              <w:bottom w:val="single" w:color="1D6A72" w:sz="1"/>
              <w:right w:val="single" w:color="1D6A72" w:sz="1"/>
            </w:tcBorders>
            <w:shd w:fill="1D6A7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Model Answer / Key Points</w:t>
            </w:r>
          </w:p>
        </w:tc>
        <w:tc>
          <w:tcPr>
            <w:tcW w:type="dxa" w:w="4790"/>
            <w:tcBorders>
              <w:top w:val="single" w:color="1D6A72" w:sz="1"/>
              <w:left w:val="single" w:color="1D6A72" w:sz="1"/>
              <w:bottom w:val="single" w:color="1D6A72" w:sz="1"/>
              <w:right w:val="single" w:color="1D6A72" w:sz="1"/>
            </w:tcBorders>
            <w:shd w:fill="1D6A7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Common Misconceptions to Address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Q1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The plateau indicates the lift is stationary at Level 12. Its duration depends on how long the doors were open. Students should read off the flat region and report a time (typically 5–15 s).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may think the plateau means constant speed rather than stationary. Ask: “If the altitude is not changing, is the lift moving?”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Q2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Maximum speed is the peak of the v-t graph, typically 1.2–1.8 m s⁻¹ for a standard passenger lift. Students should identify the flat top of the velocity curve and read off its value directly.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often confuse the y-intercept with maximum speed, or try to differentiate the position graph instead of reading the velocity graph.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Q3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The barometer measures air pressure, which changes slowly and smoothly with altitude — it acts as a natural low-pass filter. The accelerometer measures tiny mechanical vibrations and motor noise directly, so its signal is inherently noisier.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often say the accelerometer is ‘less accurate’. Guide them to the distinction between precision (noise) and accuracy (systematic error).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Q4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Scale reads below actual weight when a &lt; 0 (net force downward): (1) decelerating approaching Level 12 (moving up, slowing down ⇒ a is downward) and (2) accelerating away from Level 12 toward L1 (moving down, speeding up ⇒ a is downward).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Very common: students think the scale reads less only when going down. Emphasise it is the direction of acceleration, not velocity, that determines N.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Q5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Using a = 0.4 m s⁻² (example from Phyphox) and m = 60 kg:
N = 60 × (10 + 0.4) = 624 N
Scale reading: 624 ÷ 10 = 62.4 kg
If measured reading is ~62 kg, % difference ≈ 0.6% — excellent agreement.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forget to divide by g to convert N back to a scale reading in kg, or they confuse mass and weight throughout.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Q6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 &gt; W because the net upward force required (ma) means the floor must push harder on the person. Mass is unchanged; the sensation of ‘heaviness’ comes from the increased normal contact force on the feet.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say ‘weight increases’. Correct this firmly: weight (mg) is constant; it is N that increases.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Q7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FBDs:
• Accel. upward: N arrow longer than W arrow (N &gt; W)
• Constant velocity: N arrow = W arrow (N = W)
• Decel. at L12: N arrow shorter than W arrow (N &lt; W)
Both arrows must be labelled with magnitudes or inequalities.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draw N and W on opposite sides of the body rather than at the contact point / centre of gravity. Also check that arrow lengths are proportional.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Q8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 free fall: a = −g (taking upward as positive).
N = m(g + a) = m(g − g) = 0 N
Scale reads 0 kg. This simulates weightlessness (apparent weightlessness / microgravity). Weight still acts — the person and lift fall together.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say gravity disappears or weight becomes zero. Clarify: weight (gravitational force) is unchanged; it is N that becomes zero.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Q9–10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Open-ended. Award marks for: Phyphox — noise in accelerometer, barometer calibration drift, phone tilt. Scale — response time of display (too slow for short acceleration phases), person moving slightly. Improvements: repeated trials, averaging, digital output scale with data logging.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FAF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Students may copy limitations verbatim from textbooks rather than relating them specifically to this experiment. Encourage them to link each limitation to the data they actually collected.</w:t>
            </w:r>
          </w:p>
        </w:tc>
      </w:tr>
      <w:tr>
        <w:tc>
          <w:tcPr>
            <w:tcW w:type="dxa" w:w="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Q11–Q13</w:t>
            </w:r>
          </w:p>
        </w:tc>
        <w:tc>
          <w:tcPr>
            <w:tcW w:type="dxa" w:w="4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Reflection questions are open-ended. Key point for Q11: Phyphox a values may differ slightly from scale-derived a because the accelerometer has noise and the scale display lags. Q13: Neither method is definitively better — they complement each other.</w:t>
            </w:r>
          </w:p>
        </w:tc>
        <w:tc>
          <w:tcPr>
            <w:tcW w:type="dxa" w:w="47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0"/>
      </w:pPr>
      <w:r>
        <w:br w:type="pag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F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Differentiation Strategies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96"/>
        <w:gridCol w:w="3296"/>
        <w:gridCol w:w="3298"/>
      </w:tblGrid>
      <w:tr>
        <w:trPr>
          <w:tblHeader/>
        </w:trPr>
        <w:tc>
          <w:tcPr>
            <w:tcW w:type="dxa" w:w="3296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2B6CB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Support (Struggling groups)</w:t>
            </w:r>
          </w:p>
        </w:tc>
        <w:tc>
          <w:tcPr>
            <w:tcW w:type="dxa" w:w="3296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Core (Most groups)</w:t>
            </w:r>
          </w:p>
        </w:tc>
        <w:tc>
          <w:tcPr>
            <w:tcW w:type="dxa" w:w="3296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D4E89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Extension (Advanced groups)</w:t>
            </w:r>
          </w:p>
        </w:tc>
      </w:tr>
      <w:tr>
        <w:tc>
          <w:tcPr>
            <w:tcW w:type="dxa" w:w="329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Provide a partially completed phase table with time ranges pre-filled.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Offer a worked FBD template with arrows pre-drawn for one phase.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Allow calculator use for Q5; supply the formula card verbally.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Pair with a stronger group for the debrief discussion.</w:t>
            </w:r>
          </w:p>
        </w:tc>
        <w:tc>
          <w:tcPr>
            <w:tcW w:type="dxa" w:w="329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AFCFE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Complete all handout sections independently.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Compare Phyphox acceleration with scale-derived acceleration in Q11.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Attempt Extension Challenges 1 and 2 on Page 5.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Contribute to whole-class debrief.</w:t>
            </w:r>
          </w:p>
        </w:tc>
        <w:tc>
          <w:tcPr>
            <w:tcW w:type="dxa" w:w="329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Challenge 2: plot N vs t and overlay a(t) from Phyphox on same axes.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Derive: how would N change if the lift moved between B1 and L30?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Research: how do lift manufacturers limit maximum jerk to ensure passenger comfort?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Write a short paragraph explaining weightlessness using this experiment as a context.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G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Formative Assessment Opportunities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200"/>
        <w:gridCol w:w="4290"/>
      </w:tblGrid>
      <w:tr>
        <w:trPr>
          <w:tblHeader/>
        </w:trPr>
        <w:tc>
          <w:tcPr>
            <w:tcW w:type="dxa" w:w="14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Timing</w:t>
            </w:r>
          </w:p>
        </w:tc>
        <w:tc>
          <w:tcPr>
            <w:tcW w:type="dxa" w:w="420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Assessment Strategy</w:t>
            </w:r>
          </w:p>
        </w:tc>
        <w:tc>
          <w:tcPr>
            <w:tcW w:type="dxa" w:w="4290"/>
            <w:tcBorders>
              <w:top w:val="single" w:color="1A3A5C" w:sz="1"/>
              <w:left w:val="single" w:color="1A3A5C" w:sz="1"/>
              <w:bottom w:val="single" w:color="1A3A5C" w:sz="1"/>
              <w:right w:val="single" w:color="1A3A5C" w:sz="1"/>
            </w:tcBorders>
            <w:shd w:fill="1A3A5C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look for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P1 opener</w:t>
            </w:r>
          </w:p>
        </w:tc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Cold-call questioning: “Will the scale read more or less?”</w:t>
            </w:r>
          </w:p>
        </w:tc>
        <w:tc>
          <w:tcPr>
            <w:tcW w:type="dxa" w:w="42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Gauge prior conceptions; identify students who conflate velocity with acceleration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P1 field</w:t>
            </w:r>
          </w:p>
        </w:tc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Circulate during data collection; check Phyphox graph quality</w:t>
            </w:r>
          </w:p>
        </w:tc>
        <w:tc>
          <w:tcPr>
            <w:tcW w:type="dxa" w:w="42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Verify altitude plateau is visible; check slow-motion footage is focussed on scale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P2 mid</w:t>
            </w:r>
          </w:p>
        </w:tc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Monitor FBD sketches during Part E (Q7)</w:t>
            </w:r>
          </w:p>
        </w:tc>
        <w:tc>
          <w:tcPr>
            <w:tcW w:type="dxa" w:w="42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Arrow proportionality, correct labelling of N and W, correct direction for each phase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P2 debrief</w:t>
            </w:r>
          </w:p>
        </w:tc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Cold-call: ask one group to explain Q9 (free fall)</w:t>
            </w:r>
          </w:p>
        </w:tc>
        <w:tc>
          <w:tcPr>
            <w:tcW w:type="dxa" w:w="42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Use of N = m(g + a) with a = −g; clear distinction between weight and apparent weight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P2 exit</w:t>
            </w:r>
          </w:p>
        </w:tc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Exit ticket: FBD for lift decelerating at ground floor</w:t>
            </w:r>
          </w:p>
        </w:tc>
        <w:tc>
          <w:tcPr>
            <w:tcW w:type="dxa" w:w="42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8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 &lt; W; arrow lengths proportional; net force labelled downward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Post-lesson</w:t>
            </w:r>
          </w:p>
        </w:tc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Collect handouts; focus marking on Q5, Q7, Q8</w:t>
            </w:r>
          </w:p>
        </w:tc>
        <w:tc>
          <w:tcPr>
            <w:tcW w:type="dxa" w:w="429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Correct substitution, FBD quality, quality of written reasoning in Q8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  </w:t>
            </w: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Safety &amp; Contingency Planning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45"/>
        <w:gridCol w:w="4945"/>
      </w:tblGrid>
      <w:tr>
        <w:tc>
          <w:tcPr>
            <w:tcW w:type="dxa" w:w="4945"/>
            <w:tcBorders>
              <w:top w:val="none"/>
              <w:left w:val="none"/>
              <w:bottom w:val="none"/>
              <w:right w:val="single" w:color="BBBBBB" w:sz="2"/>
            </w:tcBorders>
            <w:tcMar>
              <w:top w:type="dxa" w:w="60"/>
              <w:left w:type="dxa" w:w="0"/>
              <w:bottom w:type="dxa" w:w="6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Safety Considerations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Obtain written approval from HOD / SH before conducting out-of-classroom activity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Students must not run, obstruct lift doors, or conduct horseplay in or near the lift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Scale Person should stand flat-footed and still; no leaning on walls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Teacher or supervisor must accompany every group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 phones must be on silent mode to avoid lift-sensor interference</w:t>
            </w:r>
          </w:p>
        </w:tc>
        <w:tc>
          <w:tcPr>
            <w:tcW w:type="dxa" w:w="4945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40"/>
              <w:bottom w:type="dxa" w:w="60"/>
              <w:right w:type="dxa" w:w="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Contingency: If Lift is Unavailable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Use pre-recorded Phyphox data (share CSV from teacher’s own trial run)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Use a sample slow-motion video projected on the visualiser for whole-class analysis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Adapt Part D to a simulation: students hold the scale while the teacher’s phone plays back acceleration profiles via a speaker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Sections C, E, and F can be completed fully without the field component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89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90"/>
      </w:tblGrid>
      <w:tr>
        <w:tc>
          <w:tcPr>
            <w:tcBorders>
              <w:top w:val="single" w:color="1A3A5C" w:sz="5"/>
              <w:left w:val="single" w:color="1A3A5C" w:sz="5"/>
              <w:bottom w:val="single" w:color="1A3A5C" w:sz="5"/>
              <w:right w:val="single" w:color="1A3A5C" w:sz="5"/>
            </w:tcBorders>
            <w:shd w:fill="1A3A5C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Equations for Reference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8C8E8"/>
                <w:sz w:val="19"/>
                <w:szCs w:val="19"/>
              </w:rPr>
              <w:t xml:space="preserve">Fₙₑₜ = ma     |     N − mg = ma     ⟹     N = m(g + a)     |     Free fall: a = −g ⟹ N = 0     |     g = 10 N kg⁻¹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A5C" w:sz="4" w:space="4"/>
      </w:pBdr>
      <w:spacing w:before="6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Confidential — Teacher copy only     |   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 w:space="4"/>
      </w:pBdr>
      <w:spacing w:after="60"/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TEACHER RESOURCE  |  </w:t>
    </w:r>
    <w:r>
      <w:rPr>
        <w:rFonts w:ascii="Arial" w:cs="Arial" w:eastAsia="Arial" w:hAnsi="Arial"/>
        <w:color w:val="555555"/>
        <w:sz w:val="18"/>
        <w:szCs w:val="18"/>
      </w:rPr>
      <w:t xml:space="preserve">Riding the Lift: Forces in Motion  —  Lesson Plan</w:t>
    </w:r>
    <w:r>
      <w:rPr>
        <w:rFonts w:ascii="Arial" w:cs="Arial" w:eastAsia="Arial" w:hAnsi="Arial"/>
        <w:color w:val="888888"/>
        <w:sz w:val="18"/>
        <w:szCs w:val="18"/>
      </w:rPr>
      <w:t xml:space="preserve">		JC1 H2 Physics  |  Dynamics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160"/>
      <w:outlineLvl w:val="0"/>
    </w:pPr>
    <w:rPr>
      <w:rFonts w:ascii="Arial" w:cs="Arial" w:eastAsia="Arial" w:hAnsi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80" w:before="140"/>
      <w:outlineLvl w:val="1"/>
    </w:pPr>
    <w:rPr>
      <w:rFonts w:ascii="Arial" w:cs="Arial" w:eastAsia="Arial" w:hAnsi="Arial"/>
      <w:b/>
      <w:bCs/>
      <w:color w:val="1A3A5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2026-04-18T06:16:45.303Z</dcterms:created>
  <dcterms:modified xsi:type="dcterms:W3CDTF">2026-04-18T06:16:45.304Z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da6799-48a4-4505-a0cd-904be69fc9b2_Enabled">
    <vt:lpwstr>true</vt:lpwstr>
  </property>
  <property fmtid="{D5CDD505-2E9C-101B-9397-08002B2CF9AE}" pid="3" name="MSIP_Label_6dda6799-48a4-4505-a0cd-904be69fc9b2_SetDate">
    <vt:lpwstr>2026-05-21T06:31:37Z</vt:lpwstr>
  </property>
  <property fmtid="{D5CDD505-2E9C-101B-9397-08002B2CF9AE}" pid="4" name="MSIP_Label_6dda6799-48a4-4505-a0cd-904be69fc9b2_Method">
    <vt:lpwstr>Privileged</vt:lpwstr>
  </property>
  <property fmtid="{D5CDD505-2E9C-101B-9397-08002B2CF9AE}" pid="5" name="MSIP_Label_6dda6799-48a4-4505-a0cd-904be69fc9b2_Name">
    <vt:lpwstr>NON-SENSITIVE</vt:lpwstr>
  </property>
  <property fmtid="{D5CDD505-2E9C-101B-9397-08002B2CF9AE}" pid="6" name="MSIP_Label_6dda6799-48a4-4505-a0cd-904be69fc9b2_SiteId">
    <vt:lpwstr>6590cdd4-8337-4198-bacc-47645c4a4d4d</vt:lpwstr>
  </property>
  <property fmtid="{D5CDD505-2E9C-101B-9397-08002B2CF9AE}" pid="7" name="MSIP_Label_6dda6799-48a4-4505-a0cd-904be69fc9b2_ActionId">
    <vt:lpwstr>55bf0ef4-2e8f-49d1-8572-4ed56840cb72</vt:lpwstr>
  </property>
  <property fmtid="{D5CDD505-2E9C-101B-9397-08002B2CF9AE}" pid="8" name="MSIP_Label_6dda6799-48a4-4505-a0cd-904be69fc9b2_ContentBits">
    <vt:lpwstr>0</vt:lpwstr>
  </property>
</Properties>
</file>